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8421" w14:textId="0C799455" w:rsidR="00854BF3" w:rsidRPr="005D5932" w:rsidRDefault="00854BF3" w:rsidP="009A34B7">
      <w:pPr>
        <w:rPr>
          <w:rFonts w:ascii="Arial" w:hAnsi="Arial" w:cs="Arial"/>
          <w:sz w:val="32"/>
        </w:rPr>
      </w:pPr>
      <w:r w:rsidRPr="005D5932">
        <w:rPr>
          <w:rFonts w:ascii="Arial" w:hAnsi="Arial" w:cs="Arial"/>
          <w:sz w:val="32"/>
          <w:szCs w:val="32"/>
        </w:rPr>
        <w:t>Bilag 8</w:t>
      </w:r>
      <w:r w:rsidR="00A37269" w:rsidRPr="005D5932">
        <w:rPr>
          <w:rFonts w:ascii="Arial" w:hAnsi="Arial" w:cs="Arial"/>
          <w:sz w:val="32"/>
          <w:szCs w:val="32"/>
        </w:rPr>
        <w:t>.</w:t>
      </w:r>
    </w:p>
    <w:p w14:paraId="1E136A20" w14:textId="3A16F25A" w:rsidR="00854BF3" w:rsidRPr="005D5932" w:rsidRDefault="00854BF3" w:rsidP="00854BF3">
      <w:pPr>
        <w:rPr>
          <w:rFonts w:ascii="Arial" w:hAnsi="Arial" w:cs="Arial"/>
          <w:sz w:val="32"/>
          <w:szCs w:val="32"/>
        </w:rPr>
      </w:pPr>
      <w:r w:rsidRPr="005D5932">
        <w:rPr>
          <w:rFonts w:ascii="Arial" w:hAnsi="Arial" w:cs="Arial"/>
          <w:sz w:val="32"/>
          <w:szCs w:val="32"/>
        </w:rPr>
        <w:t>Redegørelse for beregning af reel genanvendelse på kommunalt niveau, 202</w:t>
      </w:r>
      <w:r w:rsidR="000A5F32">
        <w:rPr>
          <w:rFonts w:ascii="Arial" w:hAnsi="Arial" w:cs="Arial"/>
          <w:sz w:val="32"/>
          <w:szCs w:val="32"/>
        </w:rPr>
        <w:t>2</w:t>
      </w:r>
    </w:p>
    <w:p w14:paraId="38E0EDEC" w14:textId="77777777" w:rsidR="00854BF3" w:rsidRPr="005D5932" w:rsidRDefault="00854BF3" w:rsidP="009A34B7">
      <w:pPr>
        <w:rPr>
          <w:rFonts w:ascii="Arial" w:hAnsi="Arial" w:cs="Arial"/>
          <w:sz w:val="32"/>
        </w:rPr>
      </w:pPr>
    </w:p>
    <w:p w14:paraId="0CBE4ACB" w14:textId="682A848D" w:rsidR="00FE7E77" w:rsidRPr="001B61B8" w:rsidRDefault="00FB5557" w:rsidP="001B61B8">
      <w:pPr>
        <w:pStyle w:val="Overskrift1"/>
      </w:pPr>
      <w:r w:rsidRPr="001B61B8">
        <w:t>Introduktion</w:t>
      </w:r>
    </w:p>
    <w:p w14:paraId="09D84F68" w14:textId="5ED887F9" w:rsidR="00CA1FCC" w:rsidRPr="005D5932" w:rsidRDefault="00DD3A9D" w:rsidP="00FE7E77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Dette notat uddyber </w:t>
      </w:r>
      <w:r w:rsidR="007879C4" w:rsidRPr="005D5932">
        <w:rPr>
          <w:rFonts w:ascii="Arial" w:hAnsi="Arial" w:cs="Arial"/>
        </w:rPr>
        <w:t>Miljøstyrelsen</w:t>
      </w:r>
      <w:r w:rsidRPr="005D5932">
        <w:rPr>
          <w:rFonts w:ascii="Arial" w:hAnsi="Arial" w:cs="Arial"/>
        </w:rPr>
        <w:t xml:space="preserve">s </w:t>
      </w:r>
      <w:r w:rsidR="00B4601E" w:rsidRPr="005D5932">
        <w:rPr>
          <w:rFonts w:ascii="Arial" w:hAnsi="Arial" w:cs="Arial"/>
        </w:rPr>
        <w:t xml:space="preserve">opgørelse af reel genanvendelse. </w:t>
      </w:r>
      <w:r w:rsidRPr="005D5932">
        <w:rPr>
          <w:rFonts w:ascii="Arial" w:hAnsi="Arial" w:cs="Arial"/>
        </w:rPr>
        <w:t xml:space="preserve">Formålet er, at </w:t>
      </w:r>
      <w:r w:rsidR="00B4601E" w:rsidRPr="005D5932">
        <w:rPr>
          <w:rFonts w:ascii="Arial" w:hAnsi="Arial" w:cs="Arial"/>
        </w:rPr>
        <w:t xml:space="preserve">kommunerne </w:t>
      </w:r>
      <w:r w:rsidRPr="005D5932">
        <w:rPr>
          <w:rFonts w:ascii="Arial" w:hAnsi="Arial" w:cs="Arial"/>
        </w:rPr>
        <w:t xml:space="preserve">på egen hånd skal kunne </w:t>
      </w:r>
      <w:r w:rsidR="00B4601E" w:rsidRPr="005D5932">
        <w:rPr>
          <w:rFonts w:ascii="Arial" w:hAnsi="Arial" w:cs="Arial"/>
        </w:rPr>
        <w:t>gennemse</w:t>
      </w:r>
      <w:r w:rsidR="00862386">
        <w:rPr>
          <w:rFonts w:ascii="Arial" w:hAnsi="Arial" w:cs="Arial"/>
        </w:rPr>
        <w:t>,</w:t>
      </w:r>
      <w:r w:rsidR="00B4601E" w:rsidRPr="005D5932">
        <w:rPr>
          <w:rFonts w:ascii="Arial" w:hAnsi="Arial" w:cs="Arial"/>
        </w:rPr>
        <w:t xml:space="preserve"> hvordan reel genanvendelse af municipal waste (MW) og husholdningsaffald er opgjort </w:t>
      </w:r>
      <w:r w:rsidR="004B3799" w:rsidRPr="005D5932">
        <w:rPr>
          <w:rFonts w:ascii="Arial" w:hAnsi="Arial" w:cs="Arial"/>
        </w:rPr>
        <w:t xml:space="preserve">pr. </w:t>
      </w:r>
      <w:r w:rsidR="004B3799" w:rsidRPr="005C45F0">
        <w:rPr>
          <w:rFonts w:ascii="Arial" w:hAnsi="Arial" w:cs="Arial"/>
        </w:rPr>
        <w:t xml:space="preserve">kommune </w:t>
      </w:r>
      <w:r w:rsidR="00B4601E" w:rsidRPr="005C45F0">
        <w:rPr>
          <w:rFonts w:ascii="Arial" w:hAnsi="Arial" w:cs="Arial"/>
        </w:rPr>
        <w:t xml:space="preserve">i </w:t>
      </w:r>
      <w:hyperlink r:id="rId11" w:history="1">
        <w:r w:rsidR="00B4601E" w:rsidRPr="005C45F0">
          <w:rPr>
            <w:rStyle w:val="Hyperlink"/>
            <w:rFonts w:ascii="Arial" w:hAnsi="Arial" w:cs="Arial"/>
            <w:color w:val="auto"/>
            <w:u w:val="none"/>
          </w:rPr>
          <w:t>Affaldsstatistik 202</w:t>
        </w:r>
        <w:r w:rsidR="000A5F32" w:rsidRPr="005C45F0">
          <w:rPr>
            <w:rStyle w:val="Hyperlink"/>
            <w:rFonts w:ascii="Arial" w:hAnsi="Arial" w:cs="Arial"/>
            <w:color w:val="auto"/>
            <w:u w:val="none"/>
          </w:rPr>
          <w:t>2</w:t>
        </w:r>
      </w:hyperlink>
      <w:r w:rsidR="00B4601E" w:rsidRPr="005C45F0">
        <w:rPr>
          <w:rFonts w:ascii="Arial" w:hAnsi="Arial" w:cs="Arial"/>
        </w:rPr>
        <w:t xml:space="preserve">. </w:t>
      </w:r>
      <w:r w:rsidR="007A50B0" w:rsidRPr="005C45F0">
        <w:rPr>
          <w:rFonts w:ascii="Arial" w:hAnsi="Arial" w:cs="Arial"/>
        </w:rPr>
        <w:t xml:space="preserve">Opgørelsen </w:t>
      </w:r>
      <w:r w:rsidR="007A50B0" w:rsidRPr="005D5932">
        <w:rPr>
          <w:rFonts w:ascii="Arial" w:hAnsi="Arial" w:cs="Arial"/>
        </w:rPr>
        <w:t>a</w:t>
      </w:r>
      <w:r w:rsidR="00862386">
        <w:rPr>
          <w:rFonts w:ascii="Arial" w:hAnsi="Arial" w:cs="Arial"/>
        </w:rPr>
        <w:t>f MW p</w:t>
      </w:r>
      <w:r w:rsidR="0045175D">
        <w:rPr>
          <w:rFonts w:ascii="Arial" w:hAnsi="Arial" w:cs="Arial"/>
        </w:rPr>
        <w:t>r</w:t>
      </w:r>
      <w:r w:rsidR="00862386">
        <w:rPr>
          <w:rFonts w:ascii="Arial" w:hAnsi="Arial" w:cs="Arial"/>
        </w:rPr>
        <w:t>.</w:t>
      </w:r>
      <w:r w:rsidR="0045175D">
        <w:rPr>
          <w:rFonts w:ascii="Arial" w:hAnsi="Arial" w:cs="Arial"/>
        </w:rPr>
        <w:t xml:space="preserve"> kommune fremgår ikke af</w:t>
      </w:r>
      <w:r w:rsidR="007A50B0" w:rsidRPr="005D5932">
        <w:rPr>
          <w:rFonts w:ascii="Arial" w:hAnsi="Arial" w:cs="Arial"/>
        </w:rPr>
        <w:t xml:space="preserve"> Affaldsstatistikken, men på nationalt plan i Affaldsstatistikkens tabel 5.5. Opg</w:t>
      </w:r>
      <w:r w:rsidR="00862386">
        <w:rPr>
          <w:rFonts w:ascii="Arial" w:hAnsi="Arial" w:cs="Arial"/>
        </w:rPr>
        <w:t>ørelsen af husholdningsaffald p</w:t>
      </w:r>
      <w:r w:rsidR="007A50B0" w:rsidRPr="005D5932">
        <w:rPr>
          <w:rFonts w:ascii="Arial" w:hAnsi="Arial" w:cs="Arial"/>
        </w:rPr>
        <w:t>r</w:t>
      </w:r>
      <w:r w:rsidR="00862386">
        <w:rPr>
          <w:rFonts w:ascii="Arial" w:hAnsi="Arial" w:cs="Arial"/>
        </w:rPr>
        <w:t>.</w:t>
      </w:r>
      <w:r w:rsidR="007A50B0" w:rsidRPr="005D5932">
        <w:rPr>
          <w:rFonts w:ascii="Arial" w:hAnsi="Arial" w:cs="Arial"/>
        </w:rPr>
        <w:t xml:space="preserve"> kommune </w:t>
      </w:r>
      <w:r w:rsidR="00B4601E" w:rsidRPr="005D5932">
        <w:rPr>
          <w:rFonts w:ascii="Arial" w:hAnsi="Arial" w:cs="Arial"/>
        </w:rPr>
        <w:t xml:space="preserve">fremgår af </w:t>
      </w:r>
      <w:r w:rsidRPr="005D5932">
        <w:rPr>
          <w:rFonts w:ascii="Arial" w:hAnsi="Arial" w:cs="Arial"/>
        </w:rPr>
        <w:t xml:space="preserve">Affaldsstatistikkens </w:t>
      </w:r>
      <w:r w:rsidR="00B4601E" w:rsidRPr="005D5932">
        <w:rPr>
          <w:rFonts w:ascii="Arial" w:hAnsi="Arial" w:cs="Arial"/>
        </w:rPr>
        <w:t>tabel 5.6.</w:t>
      </w:r>
    </w:p>
    <w:p w14:paraId="49AB9214" w14:textId="224FDFBB" w:rsidR="00DD3A9D" w:rsidRPr="002525D3" w:rsidRDefault="00DD3A9D" w:rsidP="002525D3">
      <w:pPr>
        <w:pStyle w:val="Overskrift2"/>
      </w:pPr>
      <w:r w:rsidRPr="002525D3">
        <w:t>Miljøstyrelsens forpligtelse</w:t>
      </w:r>
      <w:r w:rsidR="00836021" w:rsidRPr="002525D3">
        <w:t>r</w:t>
      </w:r>
      <w:r w:rsidR="00566F27" w:rsidRPr="002525D3">
        <w:t xml:space="preserve"> </w:t>
      </w:r>
    </w:p>
    <w:p w14:paraId="1633391F" w14:textId="3F835F97" w:rsidR="005C4F31" w:rsidRPr="005D5932" w:rsidRDefault="00FD0067" w:rsidP="00FE7E77">
      <w:pPr>
        <w:rPr>
          <w:rFonts w:ascii="Arial" w:hAnsi="Arial" w:cs="Arial"/>
        </w:rPr>
      </w:pPr>
      <w:r w:rsidRPr="005D5932">
        <w:rPr>
          <w:rFonts w:ascii="Arial" w:hAnsi="Arial" w:cs="Arial"/>
        </w:rPr>
        <w:t>Miljøstyrelsen er</w:t>
      </w:r>
      <w:r w:rsidR="00A31EF6" w:rsidRPr="005D5932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>forpligtet</w:t>
      </w:r>
      <w:r w:rsidR="00DD3A9D" w:rsidRPr="005D5932">
        <w:rPr>
          <w:rStyle w:val="Fodnotehenvisning"/>
          <w:rFonts w:cs="Arial"/>
        </w:rPr>
        <w:footnoteReference w:id="2"/>
      </w:r>
      <w:r w:rsidRPr="005D5932">
        <w:rPr>
          <w:rFonts w:ascii="Arial" w:hAnsi="Arial" w:cs="Arial"/>
        </w:rPr>
        <w:t xml:space="preserve"> til årligt at opgøre</w:t>
      </w:r>
      <w:r w:rsidR="00DD3A9D" w:rsidRPr="005D5932">
        <w:rPr>
          <w:rFonts w:ascii="Arial" w:hAnsi="Arial" w:cs="Arial"/>
        </w:rPr>
        <w:t xml:space="preserve"> den</w:t>
      </w:r>
      <w:r w:rsidRPr="005D5932">
        <w:rPr>
          <w:rFonts w:ascii="Arial" w:hAnsi="Arial" w:cs="Arial"/>
        </w:rPr>
        <w:t xml:space="preserve"> procent</w:t>
      </w:r>
      <w:r w:rsidR="00DD3A9D" w:rsidRPr="005D5932">
        <w:rPr>
          <w:rFonts w:ascii="Arial" w:hAnsi="Arial" w:cs="Arial"/>
        </w:rPr>
        <w:t>andel</w:t>
      </w:r>
      <w:r w:rsidRPr="005D5932">
        <w:rPr>
          <w:rFonts w:ascii="Arial" w:hAnsi="Arial" w:cs="Arial"/>
        </w:rPr>
        <w:t xml:space="preserve"> </w:t>
      </w:r>
      <w:r w:rsidR="00DD3A9D" w:rsidRPr="005D5932">
        <w:rPr>
          <w:rFonts w:ascii="Arial" w:hAnsi="Arial" w:cs="Arial"/>
        </w:rPr>
        <w:t xml:space="preserve">af alt husholdnings- og husholdningslignende affald, </w:t>
      </w:r>
      <w:r w:rsidRPr="005D5932">
        <w:rPr>
          <w:rFonts w:ascii="Arial" w:hAnsi="Arial" w:cs="Arial"/>
        </w:rPr>
        <w:t xml:space="preserve">der reelt genanvendes på landsplan. </w:t>
      </w:r>
      <w:r w:rsidR="00836021" w:rsidRPr="005D5932">
        <w:rPr>
          <w:rFonts w:ascii="Arial" w:hAnsi="Arial" w:cs="Arial"/>
        </w:rPr>
        <w:t>Målet er</w:t>
      </w:r>
      <w:r w:rsidR="009A34B7" w:rsidRPr="005D5932">
        <w:rPr>
          <w:rFonts w:ascii="Arial" w:hAnsi="Arial" w:cs="Arial"/>
        </w:rPr>
        <w:t>, at</w:t>
      </w:r>
      <w:r w:rsidR="004E4DE1">
        <w:rPr>
          <w:rFonts w:ascii="Arial" w:hAnsi="Arial" w:cs="Arial"/>
        </w:rPr>
        <w:t xml:space="preserve"> </w:t>
      </w:r>
      <w:r w:rsidR="00836021" w:rsidRPr="005D5932">
        <w:rPr>
          <w:rFonts w:ascii="Arial" w:hAnsi="Arial" w:cs="Arial"/>
        </w:rPr>
        <w:t>55</w:t>
      </w:r>
      <w:r w:rsidR="009A34B7" w:rsidRPr="005D5932">
        <w:rPr>
          <w:rFonts w:ascii="Arial" w:hAnsi="Arial" w:cs="Arial"/>
        </w:rPr>
        <w:t xml:space="preserve"> % af</w:t>
      </w:r>
      <w:r w:rsidR="004E4DE1">
        <w:rPr>
          <w:rFonts w:ascii="Arial" w:hAnsi="Arial" w:cs="Arial"/>
        </w:rPr>
        <w:t xml:space="preserve"> alt</w:t>
      </w:r>
      <w:r w:rsidR="009A34B7" w:rsidRPr="005D5932">
        <w:rPr>
          <w:rFonts w:ascii="Arial" w:hAnsi="Arial" w:cs="Arial"/>
        </w:rPr>
        <w:t xml:space="preserve"> MW genanvendes eller forberedes mhp</w:t>
      </w:r>
      <w:r w:rsidR="004E4DE1">
        <w:rPr>
          <w:rFonts w:ascii="Arial" w:hAnsi="Arial" w:cs="Arial"/>
        </w:rPr>
        <w:t>.</w:t>
      </w:r>
      <w:r w:rsidR="009A34B7" w:rsidRPr="005D5932">
        <w:rPr>
          <w:rFonts w:ascii="Arial" w:hAnsi="Arial" w:cs="Arial"/>
        </w:rPr>
        <w:t xml:space="preserve"> genbrug i 2025</w:t>
      </w:r>
      <w:r w:rsidR="00D53D4D" w:rsidRPr="005D5932">
        <w:rPr>
          <w:rFonts w:ascii="Arial" w:hAnsi="Arial" w:cs="Arial"/>
        </w:rPr>
        <w:t xml:space="preserve">. </w:t>
      </w:r>
      <w:r w:rsidR="00DD3A9D" w:rsidRPr="005D5932">
        <w:rPr>
          <w:rFonts w:ascii="Arial" w:hAnsi="Arial" w:cs="Arial"/>
        </w:rPr>
        <w:t>Miljøstyrelsen har i</w:t>
      </w:r>
      <w:r w:rsidRPr="005D5932">
        <w:rPr>
          <w:rFonts w:ascii="Arial" w:hAnsi="Arial" w:cs="Arial"/>
        </w:rPr>
        <w:t xml:space="preserve"> samarbejde med COWI udviklet en model, der kan opgøre denne procent. </w:t>
      </w:r>
    </w:p>
    <w:p w14:paraId="7E3BB268" w14:textId="183F1A1F" w:rsidR="0058243A" w:rsidRPr="005D5932" w:rsidRDefault="004E4DE1" w:rsidP="00FE7E7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</w:t>
      </w:r>
      <w:r w:rsidRPr="004E4DE1">
        <w:rPr>
          <w:rFonts w:ascii="Arial" w:hAnsi="Arial" w:cs="Arial"/>
        </w:rPr>
        <w:t>Danmarks nationale plan for forebyggelse og for håndtering af affald</w:t>
      </w:r>
      <w:r w:rsidR="001B4C16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 xml:space="preserve">”Handlingsplan for Cirkulær Økonomi” </w:t>
      </w:r>
      <w:r w:rsidR="009F39DA" w:rsidRPr="005D5932">
        <w:rPr>
          <w:rFonts w:ascii="Arial" w:hAnsi="Arial" w:cs="Arial"/>
        </w:rPr>
        <w:t>beskr</w:t>
      </w:r>
      <w:r>
        <w:rPr>
          <w:rFonts w:ascii="Arial" w:hAnsi="Arial" w:cs="Arial"/>
        </w:rPr>
        <w:t>ives</w:t>
      </w:r>
      <w:r w:rsidR="00DD3A9D" w:rsidRPr="005D5932">
        <w:rPr>
          <w:rFonts w:ascii="Arial" w:hAnsi="Arial" w:cs="Arial"/>
        </w:rPr>
        <w:t xml:space="preserve"> desuden,</w:t>
      </w:r>
      <w:r w:rsidR="001B4C16">
        <w:rPr>
          <w:rFonts w:ascii="Arial" w:hAnsi="Arial" w:cs="Arial"/>
        </w:rPr>
        <w:t xml:space="preserve"> at Miljøstyrelsen</w:t>
      </w:r>
      <w:r w:rsidR="009F39DA" w:rsidRPr="005D5932">
        <w:rPr>
          <w:rFonts w:ascii="Arial" w:hAnsi="Arial" w:cs="Arial"/>
        </w:rPr>
        <w:t xml:space="preserve"> vil opgøre genanvendelsen for husholdningsaffald (ekskl. have- og byggeaffald)</w:t>
      </w:r>
      <w:r w:rsidR="00D953A6" w:rsidRPr="005D5932">
        <w:rPr>
          <w:rFonts w:ascii="Arial" w:hAnsi="Arial" w:cs="Arial"/>
        </w:rPr>
        <w:t xml:space="preserve"> for de enkelte kommuner</w:t>
      </w:r>
      <w:r w:rsidR="001B4C16">
        <w:rPr>
          <w:rFonts w:ascii="Arial" w:hAnsi="Arial" w:cs="Arial"/>
        </w:rPr>
        <w:t>.</w:t>
      </w:r>
      <w:r w:rsidR="009F39DA" w:rsidRPr="005D5932">
        <w:rPr>
          <w:rFonts w:ascii="Arial" w:hAnsi="Arial" w:cs="Arial"/>
        </w:rPr>
        <w:t xml:space="preserve"> Opgørelsen af de kommunale genanvendelsesprocenter er </w:t>
      </w:r>
      <w:r w:rsidR="00C454D9" w:rsidRPr="005D5932">
        <w:rPr>
          <w:rFonts w:ascii="Arial" w:hAnsi="Arial" w:cs="Arial"/>
        </w:rPr>
        <w:t xml:space="preserve">ligeledes </w:t>
      </w:r>
      <w:r w:rsidR="009F39DA" w:rsidRPr="005D5932">
        <w:rPr>
          <w:rFonts w:ascii="Arial" w:hAnsi="Arial" w:cs="Arial"/>
        </w:rPr>
        <w:t xml:space="preserve">baseret på resultater </w:t>
      </w:r>
      <w:r w:rsidR="004B3799" w:rsidRPr="005D5932">
        <w:rPr>
          <w:rFonts w:ascii="Arial" w:hAnsi="Arial" w:cs="Arial"/>
        </w:rPr>
        <w:t xml:space="preserve">fra </w:t>
      </w:r>
      <w:r w:rsidR="009F39DA" w:rsidRPr="005D5932">
        <w:rPr>
          <w:rFonts w:ascii="Arial" w:hAnsi="Arial" w:cs="Arial"/>
        </w:rPr>
        <w:t>modellen</w:t>
      </w:r>
      <w:r w:rsidR="00A31EF6" w:rsidRPr="005D5932">
        <w:rPr>
          <w:rFonts w:ascii="Arial" w:hAnsi="Arial" w:cs="Arial"/>
        </w:rPr>
        <w:t>.</w:t>
      </w:r>
      <w:r w:rsidR="009F39DA" w:rsidRPr="005D5932">
        <w:rPr>
          <w:rFonts w:ascii="Arial" w:hAnsi="Arial" w:cs="Arial"/>
        </w:rPr>
        <w:t xml:space="preserve"> </w:t>
      </w:r>
    </w:p>
    <w:p w14:paraId="60CC8DED" w14:textId="77777777" w:rsidR="00885CBD" w:rsidRPr="001B61B8" w:rsidRDefault="00744FB2" w:rsidP="001B61B8">
      <w:pPr>
        <w:pStyle w:val="Overskrift1"/>
      </w:pPr>
      <w:r w:rsidRPr="001B61B8">
        <w:t xml:space="preserve">Begreber </w:t>
      </w:r>
    </w:p>
    <w:p w14:paraId="7A0E467B" w14:textId="6BBDB257" w:rsidR="004B3799" w:rsidRPr="005D5932" w:rsidRDefault="00826970" w:rsidP="002F1A4D">
      <w:pPr>
        <w:rPr>
          <w:rFonts w:ascii="Arial" w:hAnsi="Arial" w:cs="Arial"/>
        </w:rPr>
      </w:pPr>
      <w:r w:rsidRPr="005D5932">
        <w:rPr>
          <w:rFonts w:ascii="Arial" w:hAnsi="Arial" w:cs="Arial"/>
        </w:rPr>
        <w:t>Herunder beskrives nogle af de mest relevante begreber for denne redegørelse, eller</w:t>
      </w:r>
      <w:r w:rsidR="002F1A4D" w:rsidRPr="005D5932">
        <w:rPr>
          <w:rFonts w:ascii="Arial" w:hAnsi="Arial" w:cs="Arial"/>
        </w:rPr>
        <w:t>s</w:t>
      </w:r>
      <w:r w:rsidRPr="005D5932">
        <w:rPr>
          <w:rFonts w:ascii="Arial" w:hAnsi="Arial" w:cs="Arial"/>
        </w:rPr>
        <w:t xml:space="preserve"> anbefales det at slå op i Affaldsstatistikken</w:t>
      </w:r>
      <w:r w:rsidR="00862386">
        <w:rPr>
          <w:rFonts w:ascii="Arial" w:hAnsi="Arial" w:cs="Arial"/>
        </w:rPr>
        <w:t xml:space="preserve">, </w:t>
      </w:r>
      <w:r w:rsidR="007D44E3" w:rsidRPr="005D5932">
        <w:rPr>
          <w:rFonts w:ascii="Arial" w:hAnsi="Arial" w:cs="Arial"/>
        </w:rPr>
        <w:t xml:space="preserve">hvor bl.a. </w:t>
      </w:r>
      <w:r w:rsidR="007D44E3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7D44E3" w:rsidRPr="005D5932">
        <w:rPr>
          <w:rFonts w:ascii="Arial" w:hAnsi="Arial" w:cs="Arial"/>
        </w:rPr>
        <w:t xml:space="preserve">koder, </w:t>
      </w:r>
      <w:r w:rsidR="007D44E3" w:rsidRPr="005D5932">
        <w:rPr>
          <w:rFonts w:ascii="Arial" w:hAnsi="Arial" w:cs="Arial"/>
          <w:i/>
        </w:rPr>
        <w:t>H/E</w:t>
      </w:r>
      <w:r w:rsidR="007D44E3" w:rsidRPr="005D5932">
        <w:rPr>
          <w:rFonts w:ascii="Arial" w:hAnsi="Arial" w:cs="Arial"/>
        </w:rPr>
        <w:t xml:space="preserve">-koder og </w:t>
      </w:r>
      <w:r w:rsidR="007D44E3" w:rsidRPr="005D5932">
        <w:rPr>
          <w:rFonts w:ascii="Arial" w:hAnsi="Arial" w:cs="Arial"/>
          <w:i/>
        </w:rPr>
        <w:t>R/D</w:t>
      </w:r>
      <w:r w:rsidR="00862386">
        <w:rPr>
          <w:rFonts w:ascii="Arial" w:hAnsi="Arial" w:cs="Arial"/>
        </w:rPr>
        <w:t>-koder beskrives</w:t>
      </w:r>
      <w:r w:rsidRPr="005D5932">
        <w:rPr>
          <w:rFonts w:ascii="Arial" w:hAnsi="Arial" w:cs="Arial"/>
        </w:rPr>
        <w:t xml:space="preserve">. </w:t>
      </w:r>
    </w:p>
    <w:p w14:paraId="0779C797" w14:textId="77777777" w:rsidR="007D44E3" w:rsidRPr="005D5932" w:rsidRDefault="007D44E3" w:rsidP="00A37269">
      <w:pPr>
        <w:rPr>
          <w:rFonts w:ascii="Arial" w:hAnsi="Arial" w:cs="Arial"/>
        </w:rPr>
      </w:pPr>
    </w:p>
    <w:p w14:paraId="32B75790" w14:textId="77777777" w:rsidR="004B3799" w:rsidRPr="005D5932" w:rsidRDefault="00DD3A9D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H</w:t>
      </w:r>
      <w:r w:rsidR="00B4601E" w:rsidRPr="005D5932">
        <w:rPr>
          <w:rFonts w:ascii="Arial" w:hAnsi="Arial" w:cs="Arial"/>
        </w:rPr>
        <w:t>usholdnings- og husholdningslignende affald</w:t>
      </w:r>
      <w:r w:rsidR="00DE2DD1" w:rsidRPr="005D5932">
        <w:rPr>
          <w:rFonts w:ascii="Arial" w:hAnsi="Arial" w:cs="Arial"/>
        </w:rPr>
        <w:t>:</w:t>
      </w:r>
      <w:r w:rsidR="008E0D8E" w:rsidRPr="005D5932">
        <w:rPr>
          <w:rFonts w:ascii="Arial" w:hAnsi="Arial" w:cs="Arial"/>
        </w:rPr>
        <w:t xml:space="preserve"> </w:t>
      </w:r>
    </w:p>
    <w:p w14:paraId="60A5E176" w14:textId="4262405B" w:rsidR="0058243A" w:rsidRPr="005D5932" w:rsidRDefault="004B3799" w:rsidP="002F1A4D">
      <w:pPr>
        <w:pStyle w:val="Listeafsnit"/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B</w:t>
      </w:r>
      <w:r w:rsidR="008E0D8E" w:rsidRPr="005D5932">
        <w:rPr>
          <w:rFonts w:ascii="Arial" w:hAnsi="Arial" w:cs="Arial"/>
        </w:rPr>
        <w:t>etegnes også municipal w</w:t>
      </w:r>
      <w:r w:rsidR="00DD3A9D" w:rsidRPr="005D5932">
        <w:rPr>
          <w:rFonts w:ascii="Arial" w:hAnsi="Arial" w:cs="Arial"/>
        </w:rPr>
        <w:t>aste (MW)</w:t>
      </w:r>
      <w:r w:rsidR="00B4601E" w:rsidRPr="005D5932">
        <w:rPr>
          <w:rFonts w:ascii="Arial" w:hAnsi="Arial" w:cs="Arial"/>
        </w:rPr>
        <w:t xml:space="preserve">. </w:t>
      </w:r>
      <w:r w:rsidR="00DD3A9D" w:rsidRPr="005D5932">
        <w:rPr>
          <w:rFonts w:ascii="Arial" w:hAnsi="Arial" w:cs="Arial"/>
        </w:rPr>
        <w:t>MW bruges derfor som f</w:t>
      </w:r>
      <w:r w:rsidR="00B4601E" w:rsidRPr="005D5932">
        <w:rPr>
          <w:rFonts w:ascii="Arial" w:hAnsi="Arial" w:cs="Arial"/>
        </w:rPr>
        <w:t>orkortelsen</w:t>
      </w:r>
      <w:r w:rsidR="00DD3A9D" w:rsidRPr="005D5932">
        <w:rPr>
          <w:rFonts w:ascii="Arial" w:hAnsi="Arial" w:cs="Arial"/>
        </w:rPr>
        <w:t xml:space="preserve"> for husholdnings- og husholdningslignende affald.</w:t>
      </w:r>
      <w:r w:rsidR="00DD3A9D" w:rsidRPr="005D5932">
        <w:rPr>
          <w:rStyle w:val="Fodnotehenvisning"/>
          <w:rFonts w:cs="Arial"/>
        </w:rPr>
        <w:footnoteReference w:id="3"/>
      </w:r>
      <w:r w:rsidR="00B4601E" w:rsidRPr="005D5932">
        <w:rPr>
          <w:rFonts w:ascii="Arial" w:hAnsi="Arial" w:cs="Arial"/>
        </w:rPr>
        <w:t xml:space="preserve"> </w:t>
      </w:r>
      <w:r w:rsidR="00F26829" w:rsidRPr="005D5932">
        <w:rPr>
          <w:rFonts w:ascii="Arial" w:hAnsi="Arial" w:cs="Arial"/>
        </w:rPr>
        <w:t>I</w:t>
      </w:r>
      <w:r w:rsidR="00615CB5" w:rsidRPr="005D5932">
        <w:rPr>
          <w:rFonts w:ascii="Arial" w:hAnsi="Arial" w:cs="Arial"/>
        </w:rPr>
        <w:t xml:space="preserve"> </w:t>
      </w:r>
      <w:r w:rsidR="0058243A" w:rsidRPr="005D5932">
        <w:rPr>
          <w:rFonts w:ascii="Arial" w:hAnsi="Arial" w:cs="Arial"/>
        </w:rPr>
        <w:t>Affaldsstatistikken</w:t>
      </w:r>
      <w:r w:rsidR="00DD3A9D" w:rsidRPr="005D5932">
        <w:rPr>
          <w:rFonts w:ascii="Arial" w:hAnsi="Arial" w:cs="Arial"/>
        </w:rPr>
        <w:t>s bilag 7</w:t>
      </w:r>
      <w:r w:rsidR="00062707" w:rsidRPr="005D5932">
        <w:rPr>
          <w:rFonts w:ascii="Arial" w:hAnsi="Arial" w:cs="Arial"/>
        </w:rPr>
        <w:t xml:space="preserve"> f</w:t>
      </w:r>
      <w:r w:rsidR="00F26829" w:rsidRPr="005D5932">
        <w:rPr>
          <w:rFonts w:ascii="Arial" w:hAnsi="Arial" w:cs="Arial"/>
        </w:rPr>
        <w:t>indes</w:t>
      </w:r>
      <w:r w:rsidR="00062707" w:rsidRPr="005D5932">
        <w:rPr>
          <w:rFonts w:ascii="Arial" w:hAnsi="Arial" w:cs="Arial"/>
        </w:rPr>
        <w:t xml:space="preserve"> en oversigt over hvilke </w:t>
      </w:r>
      <w:r w:rsidR="00062707" w:rsidRPr="005D5932">
        <w:rPr>
          <w:rFonts w:ascii="Arial" w:hAnsi="Arial" w:cs="Arial"/>
          <w:i/>
        </w:rPr>
        <w:t>EAK</w:t>
      </w:r>
      <w:r w:rsidR="002F1A4D" w:rsidRPr="005D5932">
        <w:rPr>
          <w:rFonts w:ascii="Arial" w:hAnsi="Arial" w:cs="Arial"/>
          <w:i/>
        </w:rPr>
        <w:t>-</w:t>
      </w:r>
      <w:r w:rsidR="00062707" w:rsidRPr="005D5932">
        <w:rPr>
          <w:rFonts w:ascii="Arial" w:hAnsi="Arial" w:cs="Arial"/>
        </w:rPr>
        <w:t>koder</w:t>
      </w:r>
      <w:r w:rsidR="001C7F4A" w:rsidRPr="005D5932">
        <w:rPr>
          <w:rStyle w:val="Fodnotehenvisning"/>
          <w:rFonts w:cs="Arial"/>
        </w:rPr>
        <w:footnoteReference w:id="4"/>
      </w:r>
      <w:r w:rsidR="006164D2" w:rsidRPr="005D5932">
        <w:rPr>
          <w:rFonts w:ascii="Arial" w:hAnsi="Arial" w:cs="Arial"/>
        </w:rPr>
        <w:t>,</w:t>
      </w:r>
      <w:r w:rsidR="00062707" w:rsidRPr="005D5932">
        <w:rPr>
          <w:rFonts w:ascii="Arial" w:hAnsi="Arial" w:cs="Arial"/>
        </w:rPr>
        <w:t xml:space="preserve"> der er medregnet i MW</w:t>
      </w:r>
      <w:r w:rsidR="00482ABE" w:rsidRPr="005D5932">
        <w:rPr>
          <w:rFonts w:ascii="Arial" w:hAnsi="Arial" w:cs="Arial"/>
        </w:rPr>
        <w:t>, samt den gruppering af affaldet</w:t>
      </w:r>
      <w:r w:rsidR="00B4601E" w:rsidRPr="005D5932">
        <w:rPr>
          <w:rFonts w:ascii="Arial" w:hAnsi="Arial" w:cs="Arial"/>
        </w:rPr>
        <w:t>,</w:t>
      </w:r>
      <w:r w:rsidR="00482ABE" w:rsidRPr="005D5932">
        <w:rPr>
          <w:rFonts w:ascii="Arial" w:hAnsi="Arial" w:cs="Arial"/>
        </w:rPr>
        <w:t xml:space="preserve"> der er benyttet i </w:t>
      </w:r>
      <w:r w:rsidR="00A235D4" w:rsidRPr="005D5932">
        <w:rPr>
          <w:rFonts w:ascii="Arial" w:hAnsi="Arial" w:cs="Arial"/>
        </w:rPr>
        <w:t xml:space="preserve">nærværende </w:t>
      </w:r>
      <w:r w:rsidR="0089579C" w:rsidRPr="005D5932">
        <w:rPr>
          <w:rFonts w:ascii="Arial" w:hAnsi="Arial" w:cs="Arial"/>
        </w:rPr>
        <w:t>notat</w:t>
      </w:r>
      <w:r w:rsidR="00A235D4" w:rsidRPr="005D5932">
        <w:rPr>
          <w:rFonts w:ascii="Arial" w:hAnsi="Arial" w:cs="Arial"/>
        </w:rPr>
        <w:t>.</w:t>
      </w:r>
      <w:r w:rsidR="0089579C" w:rsidRPr="005D5932">
        <w:rPr>
          <w:rStyle w:val="Fodnotehenvisning"/>
          <w:rFonts w:cs="Arial"/>
        </w:rPr>
        <w:footnoteReference w:id="5"/>
      </w:r>
      <w:r w:rsidR="00F97820" w:rsidRPr="005D5932">
        <w:rPr>
          <w:rFonts w:ascii="Arial" w:hAnsi="Arial" w:cs="Arial"/>
        </w:rPr>
        <w:t xml:space="preserve"> </w:t>
      </w:r>
    </w:p>
    <w:p w14:paraId="0612EC38" w14:textId="77777777" w:rsidR="000B079D" w:rsidRPr="005D5932" w:rsidRDefault="000B079D" w:rsidP="00885CBD">
      <w:pPr>
        <w:ind w:left="426"/>
        <w:rPr>
          <w:rFonts w:ascii="Arial" w:hAnsi="Arial" w:cs="Arial"/>
        </w:rPr>
      </w:pPr>
    </w:p>
    <w:p w14:paraId="2465CB42" w14:textId="2475DECB" w:rsidR="004B3799" w:rsidRPr="005D5932" w:rsidRDefault="00417D87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Husholdningsaffald</w:t>
      </w:r>
      <w:r w:rsidR="00DE2DD1" w:rsidRPr="005D5932">
        <w:rPr>
          <w:rFonts w:ascii="Arial" w:hAnsi="Arial" w:cs="Arial"/>
        </w:rPr>
        <w:t>:</w:t>
      </w:r>
      <w:r w:rsidR="004A74BA" w:rsidRPr="005D5932">
        <w:rPr>
          <w:rFonts w:ascii="Arial" w:hAnsi="Arial" w:cs="Arial"/>
        </w:rPr>
        <w:t xml:space="preserve"> </w:t>
      </w:r>
    </w:p>
    <w:p w14:paraId="65D93248" w14:textId="4746FAB4" w:rsidR="002F1A4D" w:rsidRPr="005D5932" w:rsidRDefault="004B3799" w:rsidP="002F1A4D">
      <w:p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U</w:t>
      </w:r>
      <w:r w:rsidR="004A74BA" w:rsidRPr="005D5932">
        <w:rPr>
          <w:rFonts w:ascii="Arial" w:hAnsi="Arial" w:cs="Arial"/>
        </w:rPr>
        <w:t>dgøres af affald, der husstandsindsamles samt af den totale mængde affald, der afleveres til en genbrugsplads</w:t>
      </w:r>
      <w:r w:rsidRPr="005D5932">
        <w:rPr>
          <w:rFonts w:ascii="Arial" w:hAnsi="Arial" w:cs="Arial"/>
        </w:rPr>
        <w:t>, eksklusiv bygge- og anlægsaffald</w:t>
      </w:r>
      <w:r w:rsidR="004A74BA" w:rsidRPr="005D5932">
        <w:rPr>
          <w:rFonts w:ascii="Arial" w:hAnsi="Arial" w:cs="Arial"/>
        </w:rPr>
        <w:t xml:space="preserve">. </w:t>
      </w:r>
      <w:r w:rsidR="00F66408">
        <w:rPr>
          <w:rFonts w:ascii="Arial" w:hAnsi="Arial" w:cs="Arial"/>
        </w:rPr>
        <w:t>Data er præsenteret både med og uden h</w:t>
      </w:r>
      <w:r w:rsidR="004A74BA" w:rsidRPr="005D5932">
        <w:rPr>
          <w:rFonts w:ascii="Arial" w:hAnsi="Arial" w:cs="Arial"/>
        </w:rPr>
        <w:t>aveaffald,</w:t>
      </w:r>
      <w:r w:rsidR="00A7693A" w:rsidRPr="005D5932">
        <w:rPr>
          <w:rFonts w:ascii="Arial" w:hAnsi="Arial" w:cs="Arial"/>
        </w:rPr>
        <w:t xml:space="preserve"> </w:t>
      </w:r>
      <w:r w:rsidR="004A74BA" w:rsidRPr="005D5932">
        <w:rPr>
          <w:rFonts w:ascii="Arial" w:hAnsi="Arial" w:cs="Arial"/>
        </w:rPr>
        <w:t>når kommunernes reelle genanvendelse af affald fra husholdninger opgøres. Se desuden</w:t>
      </w:r>
      <w:r w:rsidR="00A7693A" w:rsidRPr="005D5932">
        <w:rPr>
          <w:rFonts w:ascii="Arial" w:hAnsi="Arial" w:cs="Arial"/>
        </w:rPr>
        <w:t xml:space="preserve"> bilag 2 ”Kilde og B</w:t>
      </w:r>
      <w:r w:rsidR="004A74BA" w:rsidRPr="005D5932">
        <w:rPr>
          <w:rFonts w:ascii="Arial" w:hAnsi="Arial" w:cs="Arial"/>
        </w:rPr>
        <w:t>rancheopdeling”.</w:t>
      </w:r>
      <w:r w:rsidR="008E0D8E" w:rsidRPr="005D5932">
        <w:rPr>
          <w:rFonts w:ascii="Arial" w:hAnsi="Arial" w:cs="Arial"/>
        </w:rPr>
        <w:t xml:space="preserve"> </w:t>
      </w:r>
      <w:r w:rsidR="009F1EB5" w:rsidRPr="005D5932">
        <w:rPr>
          <w:rFonts w:ascii="Arial" w:hAnsi="Arial" w:cs="Arial"/>
        </w:rPr>
        <w:t>Defineres pba. H-koder</w:t>
      </w:r>
      <w:r w:rsidR="001C7F4A" w:rsidRPr="005D5932">
        <w:rPr>
          <w:rStyle w:val="Fodnotehenvisning"/>
          <w:rFonts w:cs="Arial"/>
        </w:rPr>
        <w:footnoteReference w:id="6"/>
      </w:r>
      <w:r w:rsidR="002F1A4D" w:rsidRPr="005D5932">
        <w:rPr>
          <w:rFonts w:ascii="Arial" w:hAnsi="Arial" w:cs="Arial"/>
        </w:rPr>
        <w:t>.</w:t>
      </w:r>
    </w:p>
    <w:p w14:paraId="263EC95A" w14:textId="0FAEE2C3" w:rsidR="00417D87" w:rsidRPr="005D5932" w:rsidRDefault="00826970" w:rsidP="002F1A4D">
      <w:p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Se også figur 5.1 i Affaldsstatistikken for forståelse af husholdningsaffald og husholdnings- og husholdningslignende affald.</w:t>
      </w:r>
    </w:p>
    <w:p w14:paraId="081338C4" w14:textId="37761CE0" w:rsidR="00BB0946" w:rsidRPr="005D5932" w:rsidRDefault="00BB0946" w:rsidP="00885CBD">
      <w:pPr>
        <w:ind w:left="426"/>
        <w:rPr>
          <w:rFonts w:ascii="Arial" w:hAnsi="Arial" w:cs="Arial"/>
        </w:rPr>
      </w:pPr>
    </w:p>
    <w:p w14:paraId="46F71449" w14:textId="610645D0" w:rsidR="004B3799" w:rsidRPr="005D5932" w:rsidRDefault="00BB0946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Reel genanvendelse</w:t>
      </w:r>
      <w:r w:rsidR="00DE2DD1" w:rsidRPr="005D5932">
        <w:rPr>
          <w:rFonts w:ascii="Arial" w:hAnsi="Arial" w:cs="Arial"/>
        </w:rPr>
        <w:t>:</w:t>
      </w:r>
      <w:r w:rsidRPr="005D5932">
        <w:rPr>
          <w:rFonts w:ascii="Arial" w:hAnsi="Arial" w:cs="Arial"/>
        </w:rPr>
        <w:t xml:space="preserve"> </w:t>
      </w:r>
    </w:p>
    <w:p w14:paraId="493E9364" w14:textId="15790C24" w:rsidR="00BB0946" w:rsidRPr="005D5932" w:rsidRDefault="004B3799" w:rsidP="002F1A4D">
      <w:pPr>
        <w:pStyle w:val="Listeafsnit"/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E</w:t>
      </w:r>
      <w:r w:rsidR="00BB0946" w:rsidRPr="005D5932">
        <w:rPr>
          <w:rFonts w:ascii="Arial" w:hAnsi="Arial" w:cs="Arial"/>
        </w:rPr>
        <w:t xml:space="preserve">r i </w:t>
      </w:r>
      <w:r w:rsidR="00744FB2" w:rsidRPr="005D5932">
        <w:rPr>
          <w:rFonts w:ascii="Arial" w:hAnsi="Arial" w:cs="Arial"/>
        </w:rPr>
        <w:t>A</w:t>
      </w:r>
      <w:r w:rsidR="00BB0946" w:rsidRPr="005D5932">
        <w:rPr>
          <w:rFonts w:ascii="Arial" w:hAnsi="Arial" w:cs="Arial"/>
        </w:rPr>
        <w:t>ffaldsbekendtgørelsen</w:t>
      </w:r>
      <w:r w:rsidR="0089579C" w:rsidRPr="005D5932">
        <w:rPr>
          <w:rFonts w:ascii="Arial" w:hAnsi="Arial" w:cs="Arial"/>
        </w:rPr>
        <w:t xml:space="preserve"> </w:t>
      </w:r>
      <w:r w:rsidR="00DE2DD1" w:rsidRPr="005D5932">
        <w:rPr>
          <w:rFonts w:ascii="Arial" w:hAnsi="Arial" w:cs="Arial"/>
        </w:rPr>
        <w:t xml:space="preserve">§3 stk. 38 </w:t>
      </w:r>
      <w:r w:rsidR="0089579C" w:rsidRPr="005D5932">
        <w:rPr>
          <w:rFonts w:ascii="Arial" w:hAnsi="Arial" w:cs="Arial"/>
        </w:rPr>
        <w:t>defineret</w:t>
      </w:r>
      <w:r w:rsidR="00BB0946" w:rsidRPr="005D5932">
        <w:rPr>
          <w:rFonts w:ascii="Arial" w:hAnsi="Arial" w:cs="Arial"/>
        </w:rPr>
        <w:t xml:space="preserve"> som ”</w:t>
      </w:r>
      <w:r w:rsidR="00DE2DD1" w:rsidRPr="005D5932">
        <w:rPr>
          <w:rFonts w:ascii="Arial" w:hAnsi="Arial" w:cs="Arial"/>
          <w:i/>
        </w:rPr>
        <w:t>d</w:t>
      </w:r>
      <w:r w:rsidR="00BB0946" w:rsidRPr="005D5932">
        <w:rPr>
          <w:rFonts w:ascii="Arial" w:hAnsi="Arial" w:cs="Arial"/>
          <w:i/>
        </w:rPr>
        <w:t>en mængde sorteret affald, s</w:t>
      </w:r>
      <w:r w:rsidR="00DE2DD1" w:rsidRPr="005D5932">
        <w:rPr>
          <w:rFonts w:ascii="Arial" w:hAnsi="Arial" w:cs="Arial"/>
          <w:i/>
        </w:rPr>
        <w:t xml:space="preserve">om uden yderligere forberedende </w:t>
      </w:r>
      <w:r w:rsidR="00BB0946" w:rsidRPr="005D5932">
        <w:rPr>
          <w:rFonts w:ascii="Arial" w:hAnsi="Arial" w:cs="Arial"/>
          <w:i/>
        </w:rPr>
        <w:t>foranstaltninger, bringes ind i den oparbejdnin</w:t>
      </w:r>
      <w:r w:rsidR="00DE2DD1" w:rsidRPr="005D5932">
        <w:rPr>
          <w:rFonts w:ascii="Arial" w:hAnsi="Arial" w:cs="Arial"/>
          <w:i/>
        </w:rPr>
        <w:t xml:space="preserve">gsproces, hvor affaldet konkret </w:t>
      </w:r>
      <w:r w:rsidR="00BB0946" w:rsidRPr="005D5932">
        <w:rPr>
          <w:rFonts w:ascii="Arial" w:hAnsi="Arial" w:cs="Arial"/>
          <w:i/>
        </w:rPr>
        <w:t>omdannes til produkter, materialer eller stof</w:t>
      </w:r>
      <w:r w:rsidR="00DE2DD1" w:rsidRPr="005D5932">
        <w:rPr>
          <w:rFonts w:ascii="Arial" w:hAnsi="Arial" w:cs="Arial"/>
          <w:i/>
        </w:rPr>
        <w:t xml:space="preserve">fer. Bilag 8 indeholder en ikke </w:t>
      </w:r>
      <w:r w:rsidR="00BB0946" w:rsidRPr="005D5932">
        <w:rPr>
          <w:rFonts w:ascii="Arial" w:hAnsi="Arial" w:cs="Arial"/>
          <w:i/>
        </w:rPr>
        <w:t xml:space="preserve">udtømmende liste over konkrete </w:t>
      </w:r>
      <w:r w:rsidR="00BB0946" w:rsidRPr="005D5932">
        <w:rPr>
          <w:rFonts w:ascii="Arial" w:hAnsi="Arial" w:cs="Arial"/>
          <w:i/>
        </w:rPr>
        <w:lastRenderedPageBreak/>
        <w:t>beregni</w:t>
      </w:r>
      <w:r w:rsidR="00DE2DD1" w:rsidRPr="005D5932">
        <w:rPr>
          <w:rFonts w:ascii="Arial" w:hAnsi="Arial" w:cs="Arial"/>
          <w:i/>
        </w:rPr>
        <w:t xml:space="preserve">ngspunkter for genanvendelse af </w:t>
      </w:r>
      <w:r w:rsidR="00BB0946" w:rsidRPr="005D5932">
        <w:rPr>
          <w:rFonts w:ascii="Arial" w:hAnsi="Arial" w:cs="Arial"/>
          <w:i/>
        </w:rPr>
        <w:t>forskellige affaldsmaterialer”.</w:t>
      </w:r>
      <w:r w:rsidR="009F1EB5" w:rsidRPr="005D5932">
        <w:rPr>
          <w:rFonts w:ascii="Arial" w:hAnsi="Arial" w:cs="Arial"/>
        </w:rPr>
        <w:t xml:space="preserve"> </w:t>
      </w:r>
      <w:r w:rsidR="004A74BA" w:rsidRPr="005D5932">
        <w:rPr>
          <w:rFonts w:ascii="Arial" w:hAnsi="Arial" w:cs="Arial"/>
        </w:rPr>
        <w:t xml:space="preserve">Se desuden s. </w:t>
      </w:r>
      <w:r w:rsidR="00462F7F" w:rsidRPr="005D5932">
        <w:rPr>
          <w:rFonts w:ascii="Arial" w:hAnsi="Arial" w:cs="Arial"/>
        </w:rPr>
        <w:t>63</w:t>
      </w:r>
      <w:r w:rsidR="00DE2DD1" w:rsidRPr="005D5932">
        <w:rPr>
          <w:rFonts w:ascii="Arial" w:hAnsi="Arial" w:cs="Arial"/>
        </w:rPr>
        <w:t xml:space="preserve"> i affaldsstatistikken</w:t>
      </w:r>
      <w:r w:rsidR="00462F7F" w:rsidRPr="005D5932">
        <w:rPr>
          <w:rFonts w:ascii="Arial" w:hAnsi="Arial" w:cs="Arial"/>
        </w:rPr>
        <w:t xml:space="preserve"> for en beskrivelse af reel gena</w:t>
      </w:r>
      <w:r w:rsidR="00A7693A" w:rsidRPr="005D5932">
        <w:rPr>
          <w:rFonts w:ascii="Arial" w:hAnsi="Arial" w:cs="Arial"/>
        </w:rPr>
        <w:t>n</w:t>
      </w:r>
      <w:r w:rsidR="00462F7F" w:rsidRPr="005D5932">
        <w:rPr>
          <w:rFonts w:ascii="Arial" w:hAnsi="Arial" w:cs="Arial"/>
        </w:rPr>
        <w:t>vendelse.</w:t>
      </w:r>
    </w:p>
    <w:p w14:paraId="0CE89697" w14:textId="761E2015" w:rsidR="00C81AE4" w:rsidRPr="001B61B8" w:rsidRDefault="000D5FB8" w:rsidP="001B61B8">
      <w:pPr>
        <w:pStyle w:val="Overskrift1"/>
      </w:pPr>
      <w:r w:rsidRPr="001B61B8">
        <w:t>Forklaring af model til opgøre</w:t>
      </w:r>
      <w:r w:rsidR="0089579C" w:rsidRPr="001B61B8">
        <w:t>lse af</w:t>
      </w:r>
      <w:r w:rsidRPr="001B61B8">
        <w:t xml:space="preserve"> reel genanvendelse</w:t>
      </w:r>
      <w:r w:rsidR="0019392B" w:rsidRPr="001B61B8">
        <w:t xml:space="preserve"> på landsplan</w:t>
      </w:r>
    </w:p>
    <w:p w14:paraId="6313DAF2" w14:textId="0845301B" w:rsidR="0057149A" w:rsidRDefault="00D953A6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Modellen til at opgøre reel genanvendelse beror på data</w:t>
      </w:r>
      <w:r w:rsidR="0089579C" w:rsidRPr="005D5932">
        <w:rPr>
          <w:rFonts w:ascii="Arial" w:hAnsi="Arial" w:cs="Arial"/>
        </w:rPr>
        <w:t>, som er</w:t>
      </w:r>
      <w:r w:rsidRPr="005D5932">
        <w:rPr>
          <w:rFonts w:ascii="Arial" w:hAnsi="Arial" w:cs="Arial"/>
        </w:rPr>
        <w:t xml:space="preserve"> indberettet til Affaldsdatasystemet (ADS).</w:t>
      </w:r>
      <w:r w:rsidR="00A603FB" w:rsidRPr="005D5932">
        <w:rPr>
          <w:rFonts w:ascii="Arial" w:hAnsi="Arial" w:cs="Arial"/>
        </w:rPr>
        <w:t xml:space="preserve"> </w:t>
      </w:r>
      <w:r w:rsidR="00D21523" w:rsidRPr="005D5932">
        <w:rPr>
          <w:rFonts w:ascii="Arial" w:hAnsi="Arial" w:cs="Arial"/>
        </w:rPr>
        <w:t xml:space="preserve">Hele modellens formål er at gå fra viden om affaldsordninger </w:t>
      </w:r>
      <w:r w:rsidR="006E3DD6" w:rsidRPr="005D5932">
        <w:rPr>
          <w:rFonts w:ascii="Arial" w:hAnsi="Arial" w:cs="Arial"/>
        </w:rPr>
        <w:t>(indsamlet til genanvendelse) til hvor meget af hver ordning</w:t>
      </w:r>
      <w:r w:rsidR="00A37269" w:rsidRPr="005D5932">
        <w:rPr>
          <w:rFonts w:ascii="Arial" w:hAnsi="Arial" w:cs="Arial"/>
        </w:rPr>
        <w:t>,</w:t>
      </w:r>
      <w:r w:rsidR="006E3DD6" w:rsidRPr="005D5932">
        <w:rPr>
          <w:rFonts w:ascii="Arial" w:hAnsi="Arial" w:cs="Arial"/>
        </w:rPr>
        <w:t xml:space="preserve"> der reelt genanvendelse på materiale</w:t>
      </w:r>
      <w:r w:rsidR="00B54633" w:rsidRPr="005D5932">
        <w:rPr>
          <w:rFonts w:ascii="Arial" w:hAnsi="Arial" w:cs="Arial"/>
        </w:rPr>
        <w:t>fraktionsniveau.</w:t>
      </w:r>
    </w:p>
    <w:p w14:paraId="73320D32" w14:textId="36E1A38B" w:rsidR="007A5A9B" w:rsidRDefault="007A5A9B" w:rsidP="00C81AE4">
      <w:pPr>
        <w:rPr>
          <w:rFonts w:ascii="Arial" w:hAnsi="Arial" w:cs="Arial"/>
        </w:rPr>
      </w:pPr>
      <w:r w:rsidRPr="007A5A9B">
        <w:rPr>
          <w:rFonts w:ascii="Arial" w:hAnsi="Arial" w:cs="Arial"/>
        </w:rPr>
        <w:t>Af det der er udsorteret fra hver ordning</w:t>
      </w:r>
      <w:r w:rsidR="008F38B2">
        <w:rPr>
          <w:rFonts w:ascii="Arial" w:hAnsi="Arial" w:cs="Arial"/>
        </w:rPr>
        <w:t>,</w:t>
      </w:r>
      <w:r w:rsidRPr="007A5A9B">
        <w:rPr>
          <w:rFonts w:ascii="Arial" w:hAnsi="Arial" w:cs="Arial"/>
        </w:rPr>
        <w:t xml:space="preserve"> beregner modellen mængden af hver materialefraktion, der er reelt genanvendt.</w:t>
      </w:r>
    </w:p>
    <w:p w14:paraId="5D9E37CC" w14:textId="28011590" w:rsidR="00B03A10" w:rsidRPr="005D5932" w:rsidRDefault="007A5A9B" w:rsidP="007A5A9B">
      <w:pPr>
        <w:pStyle w:val="Eksempler"/>
      </w:pPr>
      <w:r>
        <w:t xml:space="preserve">Modellen beregner herved eksempelvis den genanvendte mængde af </w:t>
      </w:r>
      <w:r w:rsidR="008F38B2">
        <w:t xml:space="preserve">det </w:t>
      </w:r>
      <w:r w:rsidR="002B2A81">
        <w:t>genererede</w:t>
      </w:r>
      <w:r w:rsidR="008F38B2">
        <w:t xml:space="preserve"> </w:t>
      </w:r>
      <w:r>
        <w:t xml:space="preserve">metal, desuagtet om metallet </w:t>
      </w:r>
      <w:r w:rsidR="00F426EC">
        <w:t>er indsamlet i glasordningen (fx sylte</w:t>
      </w:r>
      <w:r>
        <w:t xml:space="preserve">tøjslåg), som storskrald (fx cykel) </w:t>
      </w:r>
      <w:r w:rsidR="00F426EC">
        <w:t>eller om det er indsamlet</w:t>
      </w:r>
      <w:r>
        <w:t xml:space="preserve"> i metalordningen.</w:t>
      </w:r>
    </w:p>
    <w:p w14:paraId="4905059E" w14:textId="77777777" w:rsidR="007A5A9B" w:rsidRDefault="007A5A9B" w:rsidP="00C81AE4">
      <w:pPr>
        <w:rPr>
          <w:rFonts w:ascii="Arial" w:hAnsi="Arial" w:cs="Arial"/>
        </w:rPr>
      </w:pPr>
    </w:p>
    <w:p w14:paraId="6414178D" w14:textId="6BE25702" w:rsidR="00566F27" w:rsidRDefault="00D5053D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Modellen</w:t>
      </w:r>
      <w:r w:rsidR="00A603FB" w:rsidRPr="005D5932">
        <w:rPr>
          <w:rFonts w:ascii="Arial" w:hAnsi="Arial" w:cs="Arial"/>
        </w:rPr>
        <w:t xml:space="preserve"> beskrives</w:t>
      </w:r>
      <w:r w:rsidRPr="005D5932">
        <w:rPr>
          <w:rFonts w:ascii="Arial" w:hAnsi="Arial" w:cs="Arial"/>
        </w:rPr>
        <w:t xml:space="preserve"> her med</w:t>
      </w:r>
      <w:r w:rsidR="00A603FB" w:rsidRPr="005D5932">
        <w:rPr>
          <w:rFonts w:ascii="Arial" w:hAnsi="Arial" w:cs="Arial"/>
        </w:rPr>
        <w:t xml:space="preserve"> en række</w:t>
      </w:r>
      <w:r w:rsidRPr="005D5932">
        <w:rPr>
          <w:rFonts w:ascii="Arial" w:hAnsi="Arial" w:cs="Arial"/>
        </w:rPr>
        <w:t xml:space="preserve"> forsimplede</w:t>
      </w:r>
      <w:r w:rsidR="00A603FB" w:rsidRPr="005D5932">
        <w:rPr>
          <w:rFonts w:ascii="Arial" w:hAnsi="Arial" w:cs="Arial"/>
        </w:rPr>
        <w:t xml:space="preserve"> matematiske formler, som benyttes til beregningen</w:t>
      </w:r>
      <w:r w:rsidRPr="005D5932">
        <w:rPr>
          <w:rFonts w:ascii="Arial" w:hAnsi="Arial" w:cs="Arial"/>
        </w:rPr>
        <w:t xml:space="preserve"> i modellen, som dog er noget mere kompleks</w:t>
      </w:r>
      <w:r w:rsidR="00A603FB" w:rsidRPr="005D5932">
        <w:rPr>
          <w:rFonts w:ascii="Arial" w:hAnsi="Arial" w:cs="Arial"/>
        </w:rPr>
        <w:t xml:space="preserve">. Hver formel består af 1) en beskrivelse, 2) hvilke affaldsfraktionskoder data bygger på og 3) enheden. Affaldsfraktionskoderne kan være </w:t>
      </w:r>
      <w:r w:rsidR="00A603FB" w:rsidRPr="005D5932">
        <w:rPr>
          <w:rFonts w:ascii="Arial" w:hAnsi="Arial" w:cs="Arial"/>
          <w:i/>
          <w:iCs/>
        </w:rPr>
        <w:t>EAK</w:t>
      </w:r>
      <w:r w:rsidR="002C75AA">
        <w:rPr>
          <w:rFonts w:ascii="Arial" w:hAnsi="Arial" w:cs="Arial"/>
        </w:rPr>
        <w:t>-</w:t>
      </w:r>
      <w:r w:rsidR="00A603FB" w:rsidRPr="005D5932">
        <w:rPr>
          <w:rFonts w:ascii="Arial" w:hAnsi="Arial" w:cs="Arial"/>
        </w:rPr>
        <w:t xml:space="preserve">koder, </w:t>
      </w:r>
      <w:r w:rsidR="00A603FB" w:rsidRPr="005D5932">
        <w:rPr>
          <w:rFonts w:ascii="Arial" w:hAnsi="Arial" w:cs="Arial"/>
          <w:i/>
          <w:iCs/>
        </w:rPr>
        <w:t>H/E</w:t>
      </w:r>
      <w:r w:rsidR="002C75AA">
        <w:rPr>
          <w:rFonts w:ascii="Arial" w:hAnsi="Arial" w:cs="Arial"/>
        </w:rPr>
        <w:t>-</w:t>
      </w:r>
      <w:r w:rsidR="00A603FB" w:rsidRPr="005D5932">
        <w:rPr>
          <w:rFonts w:ascii="Arial" w:hAnsi="Arial" w:cs="Arial"/>
        </w:rPr>
        <w:t>koder eller en kombination af de to.</w:t>
      </w:r>
    </w:p>
    <w:p w14:paraId="6530CA8E" w14:textId="3A52248C" w:rsidR="00B471CC" w:rsidRDefault="00B471CC" w:rsidP="00C81AE4">
      <w:pPr>
        <w:rPr>
          <w:rFonts w:ascii="Arial" w:hAnsi="Arial" w:cs="Arial"/>
        </w:rPr>
      </w:pPr>
      <w:r>
        <w:rPr>
          <w:rFonts w:ascii="Arial" w:hAnsi="Arial" w:cs="Arial"/>
        </w:rPr>
        <w:t>Se desuden præsentationen</w:t>
      </w:r>
      <w:r w:rsidR="008F38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blev benyttet i webinaret </w:t>
      </w:r>
      <w:hyperlink r:id="rId12" w:history="1">
        <w:r w:rsidRPr="00B471CC">
          <w:rPr>
            <w:rStyle w:val="Hyperlink"/>
            <w:rFonts w:ascii="Arial" w:hAnsi="Arial" w:cs="Arial"/>
          </w:rPr>
          <w:t>her</w:t>
        </w:r>
      </w:hyperlink>
      <w:r>
        <w:rPr>
          <w:rFonts w:ascii="Arial" w:hAnsi="Arial" w:cs="Arial"/>
        </w:rPr>
        <w:t xml:space="preserve"> med bl.a. figurer af det som forklares i dette kapitel. </w:t>
      </w:r>
    </w:p>
    <w:p w14:paraId="11CD95E3" w14:textId="0FA7CAB4" w:rsidR="00F860D9" w:rsidRPr="005D5932" w:rsidRDefault="00F860D9" w:rsidP="00F860D9">
      <w:pPr>
        <w:pStyle w:val="Eksempler"/>
      </w:pPr>
      <w:r>
        <w:t>Igennem forklaringen findes en række eksempler markeret med en grøn bjælke, som denne.</w:t>
      </w:r>
    </w:p>
    <w:p w14:paraId="6F811392" w14:textId="77777777" w:rsidR="0019392B" w:rsidRDefault="0019392B" w:rsidP="006D6AFC">
      <w:pPr>
        <w:rPr>
          <w:rFonts w:ascii="Arial" w:hAnsi="Arial" w:cs="Arial"/>
        </w:rPr>
      </w:pPr>
    </w:p>
    <w:p w14:paraId="6733E525" w14:textId="415A1770" w:rsidR="001B1E3E" w:rsidRPr="005D5932" w:rsidRDefault="001B1E3E" w:rsidP="006D6AFC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Modellen beregner den reelle genanvendelse i procent af al MW. Den reelle genanvendelse af MW i % fås ved at dividere mængden, der reelt genanvendes med den totale </w:t>
      </w:r>
      <w:r w:rsidR="002B2A81">
        <w:rPr>
          <w:rFonts w:ascii="Arial" w:hAnsi="Arial" w:cs="Arial"/>
        </w:rPr>
        <w:t>genererede</w:t>
      </w:r>
      <w:r w:rsidRPr="005D5932">
        <w:rPr>
          <w:rFonts w:ascii="Arial" w:hAnsi="Arial" w:cs="Arial"/>
        </w:rPr>
        <w:t xml:space="preserve"> mængde MW. Dette beskrives i formlen nedenfor.</w:t>
      </w:r>
    </w:p>
    <w:p w14:paraId="601C6FDD" w14:textId="77777777" w:rsidR="00566F27" w:rsidRPr="005D5932" w:rsidRDefault="00566F27" w:rsidP="00566F27">
      <w:pPr>
        <w:rPr>
          <w:rFonts w:ascii="Arial" w:hAnsi="Arial" w:cs="Arial"/>
        </w:rPr>
      </w:pPr>
    </w:p>
    <w:p w14:paraId="3DFC55C4" w14:textId="7367E819" w:rsidR="00566F27" w:rsidRPr="005D5932" w:rsidRDefault="00566F27" w:rsidP="00566F27">
      <w:pPr>
        <w:pStyle w:val="Billedtekst"/>
        <w:rPr>
          <w:rFonts w:ascii="Arial" w:hAnsi="Arial" w:cs="Arial"/>
          <w:b w:val="0"/>
        </w:rPr>
      </w:pPr>
      <w:bookmarkStart w:id="0" w:name="_Ref157766499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A</w:t>
      </w:r>
      <w:r w:rsidR="00887615">
        <w:rPr>
          <w:rFonts w:ascii="Arial" w:hAnsi="Arial" w:cs="Arial"/>
        </w:rPr>
        <w:fldChar w:fldCharType="end"/>
      </w:r>
      <w:bookmarkEnd w:id="0"/>
      <w:r w:rsidR="004A7BBC" w:rsidRPr="005D5932">
        <w:rPr>
          <w:rFonts w:ascii="Arial" w:hAnsi="Arial" w:cs="Arial"/>
          <w:b w:val="0"/>
        </w:rPr>
        <w:t xml:space="preserve">. Reel genanvendelse i </w:t>
      </w:r>
      <w:r w:rsidR="008934A5" w:rsidRPr="005D5932">
        <w:rPr>
          <w:rFonts w:ascii="Arial" w:hAnsi="Arial" w:cs="Arial"/>
          <w:b w:val="0"/>
        </w:rPr>
        <w:t>procent.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887615" w:rsidRPr="005D5932" w14:paraId="396044D0" w14:textId="77777777" w:rsidTr="00044AA0">
        <w:trPr>
          <w:trHeight w:val="648"/>
        </w:trPr>
        <w:tc>
          <w:tcPr>
            <w:tcW w:w="9638" w:type="dxa"/>
            <w:vAlign w:val="center"/>
          </w:tcPr>
          <w:p w14:paraId="50431A99" w14:textId="68730309" w:rsidR="004A7BBC" w:rsidRPr="00D30F1A" w:rsidRDefault="004A7BBC" w:rsidP="00C4124B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Reel genanvendelse i % af MW=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C00000"/>
                      </w:rPr>
                      <m:t xml:space="preserve">MW reelt genanvendt </m:t>
                    </m:r>
                    <m:r>
                      <w:rPr>
                        <w:rFonts w:ascii="Cambria Math" w:hAnsi="Cambria Math" w:cs="Arial"/>
                        <w:color w:val="C00000"/>
                      </w:rPr>
                      <m:t>(kombi af koder)(ton)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>(ton)</m:t>
                    </m:r>
                  </m:den>
                </m:f>
              </m:oMath>
            </m:oMathPara>
          </w:p>
        </w:tc>
      </w:tr>
    </w:tbl>
    <w:p w14:paraId="66803004" w14:textId="77777777" w:rsidR="00566F27" w:rsidRPr="005D5932" w:rsidRDefault="00566F27" w:rsidP="00566F27">
      <w:pPr>
        <w:rPr>
          <w:rFonts w:ascii="Arial" w:hAnsi="Arial" w:cs="Arial"/>
        </w:rPr>
      </w:pPr>
    </w:p>
    <w:p w14:paraId="45FD0171" w14:textId="315C12EF" w:rsidR="002C75AA" w:rsidRDefault="00994DBC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Det er ikke muligt direkte at </w:t>
      </w:r>
      <w:r w:rsidR="00A37269" w:rsidRPr="005D5932">
        <w:rPr>
          <w:rFonts w:ascii="Arial" w:hAnsi="Arial" w:cs="Arial"/>
        </w:rPr>
        <w:t>se</w:t>
      </w:r>
      <w:r w:rsidRPr="005D5932">
        <w:rPr>
          <w:rFonts w:ascii="Arial" w:hAnsi="Arial" w:cs="Arial"/>
        </w:rPr>
        <w:t xml:space="preserve"> den </w:t>
      </w:r>
      <w:r w:rsidR="00EA2966" w:rsidRPr="005D5932">
        <w:rPr>
          <w:rFonts w:ascii="Arial" w:hAnsi="Arial" w:cs="Arial"/>
        </w:rPr>
        <w:t>tot</w:t>
      </w:r>
      <w:r w:rsidR="00DC35FE" w:rsidRPr="005D5932">
        <w:rPr>
          <w:rFonts w:ascii="Arial" w:hAnsi="Arial" w:cs="Arial"/>
        </w:rPr>
        <w:t>ale mængde MW</w:t>
      </w:r>
      <w:r w:rsidR="005E593A" w:rsidRPr="005D5932">
        <w:rPr>
          <w:rFonts w:ascii="Arial" w:hAnsi="Arial" w:cs="Arial"/>
        </w:rPr>
        <w:t xml:space="preserve"> i ADS</w:t>
      </w:r>
      <w:r w:rsidR="00DC35FE" w:rsidRPr="005D5932">
        <w:rPr>
          <w:rFonts w:ascii="Arial" w:hAnsi="Arial" w:cs="Arial"/>
        </w:rPr>
        <w:t xml:space="preserve">, </w:t>
      </w:r>
      <w:r w:rsidRPr="005D5932">
        <w:rPr>
          <w:rFonts w:ascii="Arial" w:hAnsi="Arial" w:cs="Arial"/>
        </w:rPr>
        <w:t>der reelt genanvendes</w:t>
      </w:r>
      <w:r w:rsidR="00862386">
        <w:rPr>
          <w:rFonts w:ascii="Arial" w:hAnsi="Arial" w:cs="Arial"/>
        </w:rPr>
        <w:t xml:space="preserve"> </w:t>
      </w:r>
      <w:r w:rsidR="00862386" w:rsidRPr="005D5932">
        <w:rPr>
          <w:rFonts w:ascii="Arial" w:hAnsi="Arial" w:cs="Arial"/>
        </w:rPr>
        <w:t>(</w:t>
      </w:r>
      <w:r w:rsidR="00862386">
        <w:rPr>
          <w:rFonts w:ascii="Arial" w:hAnsi="Arial" w:cs="Arial"/>
        </w:rPr>
        <w:t xml:space="preserve">den </w:t>
      </w:r>
      <w:r w:rsidR="00862386" w:rsidRPr="00B471CC">
        <w:rPr>
          <w:rFonts w:ascii="Arial" w:hAnsi="Arial" w:cs="Arial"/>
          <w:color w:val="C00000"/>
        </w:rPr>
        <w:t xml:space="preserve">røde </w:t>
      </w:r>
      <w:r w:rsidR="00862386">
        <w:rPr>
          <w:rFonts w:ascii="Arial" w:hAnsi="Arial" w:cs="Arial"/>
        </w:rPr>
        <w:t>tæller</w:t>
      </w:r>
      <w:r w:rsidR="00862386" w:rsidRPr="005D5932">
        <w:rPr>
          <w:rFonts w:ascii="Arial" w:hAnsi="Arial" w:cs="Arial"/>
        </w:rPr>
        <w:t xml:space="preserve"> i </w:t>
      </w:r>
      <w:r w:rsidR="00862386" w:rsidRPr="005D5932">
        <w:rPr>
          <w:rFonts w:ascii="Arial" w:hAnsi="Arial" w:cs="Arial"/>
        </w:rPr>
        <w:fldChar w:fldCharType="begin"/>
      </w:r>
      <w:r w:rsidR="00862386" w:rsidRPr="005D5932">
        <w:rPr>
          <w:rFonts w:ascii="Arial" w:hAnsi="Arial" w:cs="Arial"/>
        </w:rPr>
        <w:instrText xml:space="preserve"> REF _Ref157766499 \h  \* MERGEFORMAT </w:instrText>
      </w:r>
      <w:r w:rsidR="00862386" w:rsidRPr="005D5932">
        <w:rPr>
          <w:rFonts w:ascii="Arial" w:hAnsi="Arial" w:cs="Arial"/>
        </w:rPr>
      </w:r>
      <w:r w:rsidR="00862386" w:rsidRPr="005D5932">
        <w:rPr>
          <w:rFonts w:ascii="Arial" w:hAnsi="Arial" w:cs="Arial"/>
        </w:rPr>
        <w:fldChar w:fldCharType="separate"/>
      </w:r>
      <w:r w:rsidR="00862386" w:rsidRPr="005D5932">
        <w:rPr>
          <w:rFonts w:ascii="Arial" w:hAnsi="Arial" w:cs="Arial"/>
        </w:rPr>
        <w:t xml:space="preserve">Ligning </w:t>
      </w:r>
      <w:r w:rsidR="00862386">
        <w:rPr>
          <w:rFonts w:ascii="Arial" w:hAnsi="Arial" w:cs="Arial"/>
          <w:noProof/>
        </w:rPr>
        <w:t>A</w:t>
      </w:r>
      <w:r w:rsidR="00862386" w:rsidRPr="005D5932">
        <w:rPr>
          <w:rFonts w:ascii="Arial" w:hAnsi="Arial" w:cs="Arial"/>
        </w:rPr>
        <w:fldChar w:fldCharType="end"/>
      </w:r>
      <w:r w:rsidR="00862386" w:rsidRPr="005D5932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 xml:space="preserve">. Derfor introduceres begrebet </w:t>
      </w:r>
      <w:r w:rsidR="00862386">
        <w:rPr>
          <w:rFonts w:ascii="Arial" w:hAnsi="Arial" w:cs="Arial"/>
        </w:rPr>
        <w:t>”</w:t>
      </w:r>
      <w:r w:rsidRPr="005D5932">
        <w:rPr>
          <w:rFonts w:ascii="Arial" w:hAnsi="Arial" w:cs="Arial"/>
        </w:rPr>
        <w:t>slutbehandling</w:t>
      </w:r>
      <w:r w:rsidR="00862386">
        <w:rPr>
          <w:rFonts w:ascii="Arial" w:hAnsi="Arial" w:cs="Arial"/>
        </w:rPr>
        <w:t>”</w:t>
      </w:r>
      <w:r w:rsidRPr="005D5932">
        <w:rPr>
          <w:rFonts w:ascii="Arial" w:hAnsi="Arial" w:cs="Arial"/>
        </w:rPr>
        <w:t xml:space="preserve">, som defineres som det sidste målepunkt i ADS. </w:t>
      </w:r>
      <w:r w:rsidR="00087169" w:rsidRPr="005D5932">
        <w:rPr>
          <w:rFonts w:ascii="Arial" w:hAnsi="Arial" w:cs="Arial"/>
        </w:rPr>
        <w:t xml:space="preserve">Slutbehandling vurderes at være tættest på EU's beregningspunkter for reel </w:t>
      </w:r>
      <w:r w:rsidR="00087169" w:rsidRPr="00887615">
        <w:rPr>
          <w:rFonts w:ascii="Arial" w:hAnsi="Arial" w:cs="Arial"/>
        </w:rPr>
        <w:t>genanvendelse</w:t>
      </w:r>
      <w:r w:rsidR="00087169" w:rsidRPr="005D5932">
        <w:rPr>
          <w:rStyle w:val="Fodnotehenvisning"/>
          <w:rFonts w:cs="Arial"/>
        </w:rPr>
        <w:footnoteReference w:id="7"/>
      </w:r>
      <w:r w:rsidR="00087169" w:rsidRPr="005D5932">
        <w:rPr>
          <w:rFonts w:ascii="Arial" w:hAnsi="Arial" w:cs="Arial"/>
        </w:rPr>
        <w:t xml:space="preserve"> i data fra ADS. </w:t>
      </w:r>
      <w:r w:rsidR="007D44E3" w:rsidRPr="005D5932">
        <w:rPr>
          <w:rFonts w:ascii="Arial" w:hAnsi="Arial" w:cs="Arial"/>
        </w:rPr>
        <w:t>Beregningen</w:t>
      </w:r>
      <w:r w:rsidR="002B2B20" w:rsidRPr="005D5932">
        <w:rPr>
          <w:rFonts w:ascii="Arial" w:hAnsi="Arial" w:cs="Arial"/>
        </w:rPr>
        <w:t xml:space="preserve"> </w:t>
      </w:r>
      <w:r w:rsidR="00885896" w:rsidRPr="005D5932">
        <w:rPr>
          <w:rFonts w:ascii="Arial" w:hAnsi="Arial" w:cs="Arial"/>
        </w:rPr>
        <w:t xml:space="preserve">af </w:t>
      </w:r>
      <w:r w:rsidR="00C72CC7" w:rsidRPr="005D5932">
        <w:rPr>
          <w:rFonts w:ascii="Arial" w:hAnsi="Arial" w:cs="Arial"/>
        </w:rPr>
        <w:t>”</w:t>
      </w:r>
      <w:r w:rsidR="002E661A" w:rsidRPr="005D5932">
        <w:rPr>
          <w:rFonts w:ascii="Arial" w:hAnsi="Arial" w:cs="Arial"/>
        </w:rPr>
        <w:t>MW reelt genanvendt</w:t>
      </w:r>
      <w:r w:rsidR="00C72CC7" w:rsidRPr="005D5932">
        <w:rPr>
          <w:rFonts w:ascii="Arial" w:hAnsi="Arial" w:cs="Arial"/>
        </w:rPr>
        <w:t xml:space="preserve"> (</w:t>
      </w:r>
      <w:r w:rsidR="00C72CC7" w:rsidRPr="005D5932">
        <w:rPr>
          <w:rFonts w:ascii="Arial" w:hAnsi="Arial" w:cs="Arial"/>
          <w:i/>
          <w:iCs/>
        </w:rPr>
        <w:t>kombi af koder</w:t>
      </w:r>
      <w:r w:rsidR="00C72CC7" w:rsidRPr="005D5932">
        <w:rPr>
          <w:rFonts w:ascii="Arial" w:hAnsi="Arial" w:cs="Arial"/>
        </w:rPr>
        <w:t>) (ton)”</w:t>
      </w:r>
      <w:r w:rsidR="002E661A" w:rsidRPr="005D5932">
        <w:rPr>
          <w:rFonts w:ascii="Arial" w:hAnsi="Arial" w:cs="Arial"/>
        </w:rPr>
        <w:t xml:space="preserve"> </w:t>
      </w:r>
      <w:r w:rsidR="002B2B20" w:rsidRPr="005D5932">
        <w:rPr>
          <w:rFonts w:ascii="Arial" w:hAnsi="Arial" w:cs="Arial"/>
        </w:rPr>
        <w:t xml:space="preserve">gør brug af flere affaldsfraktionskoder og </w:t>
      </w:r>
      <w:r w:rsidR="007D44E3" w:rsidRPr="005D5932">
        <w:rPr>
          <w:rFonts w:ascii="Arial" w:hAnsi="Arial" w:cs="Arial"/>
        </w:rPr>
        <w:t xml:space="preserve">beskrives i næste afsnit. </w:t>
      </w:r>
      <w:r w:rsidR="009F684D">
        <w:rPr>
          <w:rFonts w:ascii="Arial" w:hAnsi="Arial" w:cs="Arial"/>
        </w:rPr>
        <w:t>Beregningen af tælleren beskrives med to ligninger (</w:t>
      </w:r>
      <w:r w:rsidR="009F684D">
        <w:rPr>
          <w:rFonts w:ascii="Arial" w:hAnsi="Arial" w:cs="Arial"/>
        </w:rPr>
        <w:fldChar w:fldCharType="begin"/>
      </w:r>
      <w:r w:rsidR="009F684D">
        <w:rPr>
          <w:rFonts w:ascii="Arial" w:hAnsi="Arial" w:cs="Arial"/>
        </w:rPr>
        <w:instrText xml:space="preserve"> REF _Ref157766557 \h </w:instrText>
      </w:r>
      <w:r w:rsidR="009F684D">
        <w:rPr>
          <w:rFonts w:ascii="Arial" w:hAnsi="Arial" w:cs="Arial"/>
        </w:rPr>
      </w:r>
      <w:r w:rsidR="009F684D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C</w:t>
      </w:r>
      <w:r w:rsidR="009F684D">
        <w:rPr>
          <w:rFonts w:ascii="Arial" w:hAnsi="Arial" w:cs="Arial"/>
        </w:rPr>
        <w:fldChar w:fldCharType="end"/>
      </w:r>
      <w:r w:rsidR="009F684D">
        <w:rPr>
          <w:rFonts w:ascii="Arial" w:hAnsi="Arial" w:cs="Arial"/>
        </w:rPr>
        <w:t xml:space="preserve"> og </w:t>
      </w:r>
      <w:r w:rsidR="009F684D">
        <w:rPr>
          <w:rFonts w:ascii="Arial" w:hAnsi="Arial" w:cs="Arial"/>
        </w:rPr>
        <w:fldChar w:fldCharType="begin"/>
      </w:r>
      <w:r w:rsidR="009F684D">
        <w:rPr>
          <w:rFonts w:ascii="Arial" w:hAnsi="Arial" w:cs="Arial"/>
        </w:rPr>
        <w:instrText xml:space="preserve"> REF _Ref157778823 \h </w:instrText>
      </w:r>
      <w:r w:rsidR="009F684D">
        <w:rPr>
          <w:rFonts w:ascii="Arial" w:hAnsi="Arial" w:cs="Arial"/>
        </w:rPr>
      </w:r>
      <w:r w:rsidR="009F684D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9F684D">
        <w:rPr>
          <w:rFonts w:ascii="Arial" w:hAnsi="Arial" w:cs="Arial"/>
        </w:rPr>
        <w:fldChar w:fldCharType="end"/>
      </w:r>
      <w:r w:rsidR="009F684D">
        <w:rPr>
          <w:rFonts w:ascii="Arial" w:hAnsi="Arial" w:cs="Arial"/>
        </w:rPr>
        <w:t>), som hænger således sammen med ligningen ovenfor.</w:t>
      </w:r>
    </w:p>
    <w:p w14:paraId="0EEF88F8" w14:textId="77777777" w:rsidR="009F684D" w:rsidRDefault="009F684D" w:rsidP="00C81AE4">
      <w:pPr>
        <w:rPr>
          <w:rFonts w:ascii="Arial" w:hAnsi="Arial" w:cs="Arial"/>
        </w:rPr>
      </w:pPr>
    </w:p>
    <w:p w14:paraId="48A1C25A" w14:textId="066006FC" w:rsidR="009F684D" w:rsidRPr="009F684D" w:rsidRDefault="009F684D" w:rsidP="009F684D">
      <w:pPr>
        <w:pStyle w:val="Billedtekst"/>
        <w:keepNext/>
        <w:rPr>
          <w:b w:val="0"/>
        </w:rPr>
      </w:pPr>
      <w:r>
        <w:t xml:space="preserve">Ligning </w:t>
      </w:r>
      <w:r w:rsidR="00200ACE">
        <w:fldChar w:fldCharType="begin"/>
      </w:r>
      <w:r w:rsidR="00200ACE">
        <w:instrText xml:space="preserve"> SEQ Ligning \* ALPHABETIC </w:instrText>
      </w:r>
      <w:r w:rsidR="00200ACE">
        <w:fldChar w:fldCharType="separate"/>
      </w:r>
      <w:r w:rsidR="00EE4DEB">
        <w:rPr>
          <w:noProof/>
        </w:rPr>
        <w:t>B</w:t>
      </w:r>
      <w:r w:rsidR="00200ACE">
        <w:rPr>
          <w:noProof/>
        </w:rPr>
        <w:fldChar w:fldCharType="end"/>
      </w:r>
      <w:r>
        <w:t xml:space="preserve">. </w:t>
      </w:r>
      <w:r w:rsidRPr="009F684D">
        <w:rPr>
          <w:b w:val="0"/>
        </w:rPr>
        <w:t>Overordnet forklaring af sammenhæng af ligninger.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684D" w14:paraId="37F84A32" w14:textId="77777777" w:rsidTr="00EE4DEB">
        <w:trPr>
          <w:trHeight w:val="1048"/>
        </w:trPr>
        <w:tc>
          <w:tcPr>
            <w:tcW w:w="9628" w:type="dxa"/>
            <w:vAlign w:val="center"/>
          </w:tcPr>
          <w:p w14:paraId="44B6E83D" w14:textId="61894F6D" w:rsidR="009F684D" w:rsidRDefault="009F684D" w:rsidP="00C4124B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</w:rPr>
                  <m:t>Ligning A=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C00000"/>
                        <w:sz w:val="18"/>
                      </w:rPr>
                      <m:t xml:space="preserve">Ligning C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8"/>
                      </w:rPr>
                      <m:t>(ton)</m:t>
                    </m:r>
                  </m:den>
                </m:f>
                <m:r>
                  <w:rPr>
                    <w:rFonts w:ascii="Cambria Math" w:hAnsi="Cambria Math" w:cs="Arial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sz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</w:rPr>
                            <m:t>MW indsamlet til genanvendelse</m:t>
                          </m:r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</w:rPr>
                                <m:t>EAK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1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</w:rPr>
                            <m:t>(ton)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∙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9900CC"/>
                        <w:sz w:val="18"/>
                      </w:rPr>
                      <m:t>Ligning 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8"/>
                      </w:rPr>
                      <m:t>(ton)</m:t>
                    </m:r>
                  </m:den>
                </m:f>
              </m:oMath>
            </m:oMathPara>
          </w:p>
        </w:tc>
      </w:tr>
    </w:tbl>
    <w:p w14:paraId="3C6F7DAB" w14:textId="77777777" w:rsidR="009F684D" w:rsidRPr="005D5932" w:rsidRDefault="009F684D" w:rsidP="00C81AE4">
      <w:pPr>
        <w:rPr>
          <w:rFonts w:ascii="Arial" w:hAnsi="Arial" w:cs="Arial"/>
        </w:rPr>
      </w:pPr>
    </w:p>
    <w:p w14:paraId="78F9460A" w14:textId="65A404CE" w:rsidR="00A83764" w:rsidRPr="005D5932" w:rsidRDefault="007D44E3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Nævneren 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_Ref157766499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er data direkte fra ADS </w:t>
      </w:r>
      <w:r w:rsidR="002E661A" w:rsidRPr="005D5932">
        <w:rPr>
          <w:rFonts w:ascii="Arial" w:hAnsi="Arial" w:cs="Arial"/>
        </w:rPr>
        <w:t>og er en summering af</w:t>
      </w:r>
      <w:r w:rsidR="002B2A81">
        <w:rPr>
          <w:rFonts w:ascii="Arial" w:hAnsi="Arial" w:cs="Arial"/>
        </w:rPr>
        <w:t xml:space="preserve"> den totalt genererede</w:t>
      </w:r>
      <w:r w:rsidRPr="005D5932">
        <w:rPr>
          <w:rFonts w:ascii="Arial" w:hAnsi="Arial" w:cs="Arial"/>
        </w:rPr>
        <w:t xml:space="preserve"> mængde MW </w:t>
      </w:r>
      <w:r w:rsidR="002B2A81">
        <w:rPr>
          <w:rFonts w:ascii="Arial" w:hAnsi="Arial" w:cs="Arial"/>
        </w:rPr>
        <w:t xml:space="preserve"> (altså til </w:t>
      </w:r>
      <w:r w:rsidRPr="005D5932">
        <w:rPr>
          <w:rFonts w:ascii="Arial" w:hAnsi="Arial" w:cs="Arial"/>
        </w:rPr>
        <w:t>alle affaldsbehandlinger</w:t>
      </w:r>
      <w:r w:rsidR="002B2A81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>.</w:t>
      </w:r>
      <w:r w:rsidR="00B36511" w:rsidRPr="005D5932">
        <w:rPr>
          <w:rFonts w:ascii="Arial" w:hAnsi="Arial" w:cs="Arial"/>
        </w:rPr>
        <w:t xml:space="preserve"> </w:t>
      </w:r>
    </w:p>
    <w:p w14:paraId="05E25962" w14:textId="5B91BE67" w:rsidR="00994DBC" w:rsidRPr="00FA25CC" w:rsidRDefault="00994DBC" w:rsidP="002525D3">
      <w:pPr>
        <w:pStyle w:val="Overskrift2"/>
        <w:rPr>
          <w:color w:val="auto"/>
        </w:rPr>
      </w:pPr>
      <w:r w:rsidRPr="00FA25CC">
        <w:rPr>
          <w:color w:val="auto"/>
        </w:rPr>
        <w:t xml:space="preserve">Beregning af </w:t>
      </w:r>
      <w:r w:rsidR="00A37269" w:rsidRPr="00FA25CC">
        <w:rPr>
          <w:color w:val="auto"/>
        </w:rPr>
        <w:t xml:space="preserve">mængden af </w:t>
      </w:r>
      <w:r w:rsidRPr="00FA25CC">
        <w:rPr>
          <w:color w:val="auto"/>
        </w:rPr>
        <w:t>MW der reelt genanvendes (</w:t>
      </w:r>
      <w:r w:rsidRPr="00B471CC">
        <w:rPr>
          <w:color w:val="C00000"/>
        </w:rPr>
        <w:t xml:space="preserve">tælleren i </w:t>
      </w:r>
      <w:r w:rsidRPr="00B471CC">
        <w:rPr>
          <w:color w:val="C00000"/>
        </w:rPr>
        <w:fldChar w:fldCharType="begin"/>
      </w:r>
      <w:r w:rsidRPr="00B471CC">
        <w:rPr>
          <w:color w:val="C00000"/>
        </w:rPr>
        <w:instrText xml:space="preserve"> REF _Ref157766499 \h  \* MERGEFORMAT </w:instrText>
      </w:r>
      <w:r w:rsidRPr="00B471CC">
        <w:rPr>
          <w:color w:val="C00000"/>
        </w:rPr>
      </w:r>
      <w:r w:rsidRPr="00B471CC">
        <w:rPr>
          <w:color w:val="C00000"/>
        </w:rPr>
        <w:fldChar w:fldCharType="separate"/>
      </w:r>
      <w:r w:rsidR="00EE4DEB" w:rsidRPr="00B471CC">
        <w:rPr>
          <w:color w:val="C00000"/>
        </w:rPr>
        <w:t>Ligning A</w:t>
      </w:r>
      <w:r w:rsidRPr="00B471CC">
        <w:rPr>
          <w:color w:val="C00000"/>
        </w:rPr>
        <w:fldChar w:fldCharType="end"/>
      </w:r>
      <w:r w:rsidRPr="00FA25CC">
        <w:rPr>
          <w:color w:val="auto"/>
        </w:rPr>
        <w:t>)</w:t>
      </w:r>
    </w:p>
    <w:p w14:paraId="578BC8B6" w14:textId="42E51661" w:rsidR="00994DBC" w:rsidRPr="005D5932" w:rsidRDefault="00994DBC" w:rsidP="00994DBC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Nedenstående formel viser hvordan nævneren 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_Ref157766499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er fremkommet.</w:t>
      </w:r>
    </w:p>
    <w:p w14:paraId="289FCC3B" w14:textId="77777777" w:rsidR="00994DBC" w:rsidRPr="005D5932" w:rsidRDefault="00994DBC" w:rsidP="00994DBC">
      <w:pPr>
        <w:rPr>
          <w:rFonts w:ascii="Arial" w:hAnsi="Arial" w:cs="Arial"/>
        </w:rPr>
      </w:pPr>
    </w:p>
    <w:p w14:paraId="156AAC4F" w14:textId="4386D8EA" w:rsidR="00994DBC" w:rsidRPr="005D5932" w:rsidRDefault="00994DBC" w:rsidP="00994DBC">
      <w:pPr>
        <w:pStyle w:val="Billedtekst"/>
        <w:rPr>
          <w:rFonts w:ascii="Arial" w:hAnsi="Arial" w:cs="Arial"/>
        </w:rPr>
      </w:pPr>
      <w:bookmarkStart w:id="1" w:name="_Ref157766557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C</w:t>
      </w:r>
      <w:r w:rsidR="00887615">
        <w:rPr>
          <w:rFonts w:ascii="Arial" w:hAnsi="Arial" w:cs="Arial"/>
        </w:rPr>
        <w:fldChar w:fldCharType="end"/>
      </w:r>
      <w:bookmarkEnd w:id="1"/>
      <w:r w:rsidR="004A7BBC" w:rsidRPr="005D5932">
        <w:rPr>
          <w:rFonts w:ascii="Arial" w:hAnsi="Arial" w:cs="Arial"/>
        </w:rPr>
        <w:t xml:space="preserve">. </w:t>
      </w:r>
      <w:r w:rsidR="008934A5" w:rsidRPr="005D5932">
        <w:rPr>
          <w:rFonts w:ascii="Arial" w:hAnsi="Arial" w:cs="Arial"/>
          <w:b w:val="0"/>
        </w:rPr>
        <w:t>Mængden af MW der reelt genanvendes.</w:t>
      </w:r>
      <w:r w:rsidR="004A7BBC" w:rsidRPr="005D5932">
        <w:rPr>
          <w:rFonts w:ascii="Arial" w:hAnsi="Arial" w:cs="Arial"/>
        </w:rPr>
        <w:t xml:space="preserve"> 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4A7BBC" w:rsidRPr="005D5932" w14:paraId="2BC4C05D" w14:textId="77777777" w:rsidTr="00843883">
        <w:trPr>
          <w:trHeight w:val="733"/>
        </w:trPr>
        <w:tc>
          <w:tcPr>
            <w:tcW w:w="9638" w:type="dxa"/>
            <w:vAlign w:val="center"/>
          </w:tcPr>
          <w:p w14:paraId="14EEE49B" w14:textId="01AD7935" w:rsidR="004A7BBC" w:rsidRPr="0081165C" w:rsidRDefault="00200ACE" w:rsidP="00843883">
            <w:pPr>
              <w:ind w:left="-534" w:right="-1167" w:firstLine="988"/>
              <w:jc w:val="center"/>
              <w:rPr>
                <w:rFonts w:ascii="Arial" w:hAnsi="Arial" w:cs="Arial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color w:val="C0000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C00000"/>
                        </w:rPr>
                        <m:t>MW reelt genanvendt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C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>kombi af koder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C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C00000"/>
                        </w:rPr>
                        <m:t>(ton)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  <w:color w:val="ABBC38" w:themeColor="accent5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MW indsamlet til genanvendelse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EAK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(ton)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∙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color w:val="9900CC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9900CC"/>
                        </w:rPr>
                        <m:t>Slutbehandlingsrater MW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color w:val="9900CC"/>
                        </w:rPr>
                        <m:t>(H/E) (%)</m:t>
                      </m:r>
                    </m:e>
                  </m:mr>
                </m:m>
              </m:oMath>
            </m:oMathPara>
          </w:p>
        </w:tc>
      </w:tr>
    </w:tbl>
    <w:p w14:paraId="10B79CAF" w14:textId="407D0984" w:rsidR="00994DBC" w:rsidRPr="005D5932" w:rsidRDefault="00994DBC" w:rsidP="006D6AFC">
      <w:pPr>
        <w:rPr>
          <w:rFonts w:ascii="Arial" w:hAnsi="Arial" w:cs="Arial"/>
        </w:rPr>
      </w:pPr>
    </w:p>
    <w:p w14:paraId="10C2D2B0" w14:textId="05CBA423" w:rsidR="007D44E3" w:rsidRPr="005D5932" w:rsidRDefault="00991E84" w:rsidP="006D6AFC">
      <w:pPr>
        <w:rPr>
          <w:rFonts w:ascii="Arial" w:hAnsi="Arial" w:cs="Arial"/>
        </w:rPr>
      </w:pPr>
      <w:r w:rsidRPr="00991E84">
        <w:rPr>
          <w:rFonts w:ascii="Arial" w:hAnsi="Arial" w:cs="Arial"/>
        </w:rPr>
        <w:t>Den første del af ligningen ”MW indsamlet til genanvendelse (</w:t>
      </w:r>
      <w:r w:rsidRPr="003A1DA4">
        <w:rPr>
          <w:rFonts w:ascii="Arial" w:hAnsi="Arial" w:cs="Arial"/>
          <w:i/>
        </w:rPr>
        <w:t>EAK</w:t>
      </w:r>
      <w:r w:rsidRPr="00991E84">
        <w:rPr>
          <w:rFonts w:ascii="Arial" w:hAnsi="Arial" w:cs="Arial"/>
        </w:rPr>
        <w:t xml:space="preserve">) (ton)” er data direkte fra ADS. Data udgøres af mængden af MW indsamlet til genanvendelse fordelt på MW-fraktionerne grupperet på </w:t>
      </w:r>
      <w:r w:rsidRPr="003A1DA4">
        <w:rPr>
          <w:rFonts w:ascii="Arial" w:hAnsi="Arial" w:cs="Arial"/>
          <w:i/>
        </w:rPr>
        <w:t>EAK</w:t>
      </w:r>
      <w:r w:rsidRPr="00991E84">
        <w:rPr>
          <w:rFonts w:ascii="Arial" w:hAnsi="Arial" w:cs="Arial"/>
        </w:rPr>
        <w:t xml:space="preserve">-koder. </w:t>
      </w:r>
    </w:p>
    <w:p w14:paraId="674F39DF" w14:textId="7C8C03F7" w:rsidR="002B2B20" w:rsidRPr="005D5932" w:rsidRDefault="002B2B20" w:rsidP="006D6AFC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Den anden del af ligningen ”Slutbehandlingsrater (</w:t>
      </w:r>
      <w:r w:rsidRPr="005D5932">
        <w:rPr>
          <w:rFonts w:ascii="Arial" w:hAnsi="Arial" w:cs="Arial"/>
          <w:i/>
        </w:rPr>
        <w:t>H/E</w:t>
      </w:r>
      <w:r w:rsidRPr="005D5932">
        <w:rPr>
          <w:rFonts w:ascii="Arial" w:hAnsi="Arial" w:cs="Arial"/>
        </w:rPr>
        <w:t xml:space="preserve">) (%)” </w:t>
      </w:r>
      <w:r w:rsidR="00B471CC">
        <w:rPr>
          <w:rFonts w:ascii="Arial" w:hAnsi="Arial" w:cs="Arial"/>
        </w:rPr>
        <w:t>(</w:t>
      </w:r>
      <w:r w:rsidR="00B471CC" w:rsidRPr="00B471CC">
        <w:rPr>
          <w:rFonts w:ascii="Arial" w:hAnsi="Arial" w:cs="Arial"/>
          <w:color w:val="9900CC"/>
        </w:rPr>
        <w:t>lilla</w:t>
      </w:r>
      <w:r w:rsidR="00B471CC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>er beskrevet i næste afsnit.</w:t>
      </w:r>
    </w:p>
    <w:p w14:paraId="20635566" w14:textId="6C6A44D3" w:rsidR="00A83764" w:rsidRPr="00046FBE" w:rsidRDefault="00A83764" w:rsidP="00046FBE">
      <w:pPr>
        <w:pStyle w:val="Overskrift3"/>
      </w:pPr>
      <w:r w:rsidRPr="00046FBE">
        <w:t>Beregning af slutbehandlingsrater</w:t>
      </w:r>
      <w:r w:rsidR="00994DBC" w:rsidRPr="00046FBE">
        <w:t xml:space="preserve"> (</w:t>
      </w:r>
      <w:r w:rsidR="002B2B20" w:rsidRPr="00B471CC">
        <w:rPr>
          <w:color w:val="9900CC"/>
        </w:rPr>
        <w:t>anden</w:t>
      </w:r>
      <w:r w:rsidR="00994DBC" w:rsidRPr="00B471CC">
        <w:rPr>
          <w:color w:val="9900CC"/>
        </w:rPr>
        <w:t xml:space="preserve"> del af </w:t>
      </w:r>
      <w:r w:rsidR="00994DBC" w:rsidRPr="00B471CC">
        <w:rPr>
          <w:color w:val="9900CC"/>
        </w:rPr>
        <w:fldChar w:fldCharType="begin"/>
      </w:r>
      <w:r w:rsidR="00994DBC" w:rsidRPr="00B471CC">
        <w:rPr>
          <w:color w:val="9900CC"/>
        </w:rPr>
        <w:instrText xml:space="preserve"> REF _Ref157766557 \h  \* MERGEFORMAT </w:instrText>
      </w:r>
      <w:r w:rsidR="00994DBC" w:rsidRPr="00B471CC">
        <w:rPr>
          <w:color w:val="9900CC"/>
        </w:rPr>
      </w:r>
      <w:r w:rsidR="00994DBC" w:rsidRPr="00B471CC">
        <w:rPr>
          <w:color w:val="9900CC"/>
        </w:rPr>
        <w:fldChar w:fldCharType="separate"/>
      </w:r>
      <w:r w:rsidR="00EE4DEB" w:rsidRPr="00B471CC">
        <w:rPr>
          <w:color w:val="9900CC"/>
        </w:rPr>
        <w:t>Ligning C</w:t>
      </w:r>
      <w:r w:rsidR="00994DBC" w:rsidRPr="00B471CC">
        <w:rPr>
          <w:color w:val="9900CC"/>
        </w:rPr>
        <w:fldChar w:fldCharType="end"/>
      </w:r>
      <w:r w:rsidR="00994DBC" w:rsidRPr="00046FBE">
        <w:t>)</w:t>
      </w:r>
    </w:p>
    <w:p w14:paraId="58D3C80E" w14:textId="5522902B" w:rsidR="002B2B20" w:rsidRPr="005D5932" w:rsidRDefault="007D44E3" w:rsidP="002B2B20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Modellen estimerer procentsatser på landsplan for, hvor meget der er slutbehandlet som genanvendelse som andel af </w:t>
      </w:r>
      <w:r w:rsidR="00B03A10" w:rsidRPr="005D5932">
        <w:rPr>
          <w:rFonts w:ascii="Arial" w:hAnsi="Arial" w:cs="Arial"/>
        </w:rPr>
        <w:t>ordningen for den pågældende fraktion</w:t>
      </w:r>
      <w:r w:rsidRPr="005D5932">
        <w:rPr>
          <w:rFonts w:ascii="Arial" w:hAnsi="Arial" w:cs="Arial"/>
        </w:rPr>
        <w:t xml:space="preserve">, der er indsamlet til genanvendelse (slutbehandlingsraterne). </w:t>
      </w:r>
      <w:r w:rsidR="002B2B20" w:rsidRPr="005D5932">
        <w:rPr>
          <w:rFonts w:ascii="Arial" w:hAnsi="Arial" w:cs="Arial"/>
        </w:rPr>
        <w:t>Dette beskrives i formlen nedenfor.</w:t>
      </w:r>
    </w:p>
    <w:p w14:paraId="4FAE99A7" w14:textId="77777777" w:rsidR="002B2B20" w:rsidRPr="005D5932" w:rsidRDefault="002B2B20" w:rsidP="002B2B20">
      <w:pPr>
        <w:rPr>
          <w:rFonts w:ascii="Arial" w:hAnsi="Arial" w:cs="Arial"/>
        </w:rPr>
      </w:pPr>
    </w:p>
    <w:p w14:paraId="784969F7" w14:textId="3A37FE27" w:rsidR="002B2B20" w:rsidRPr="005D5932" w:rsidRDefault="002B2B20" w:rsidP="002B2B20">
      <w:pPr>
        <w:pStyle w:val="Billedtekst"/>
        <w:rPr>
          <w:rFonts w:ascii="Arial" w:hAnsi="Arial" w:cs="Arial"/>
          <w:b w:val="0"/>
        </w:rPr>
      </w:pPr>
      <w:bookmarkStart w:id="2" w:name="_Ref157778823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D</w:t>
      </w:r>
      <w:r w:rsidR="00887615">
        <w:rPr>
          <w:rFonts w:ascii="Arial" w:hAnsi="Arial" w:cs="Arial"/>
        </w:rPr>
        <w:fldChar w:fldCharType="end"/>
      </w:r>
      <w:bookmarkEnd w:id="2"/>
      <w:r w:rsidR="008934A5" w:rsidRPr="005D5932">
        <w:rPr>
          <w:rFonts w:ascii="Arial" w:hAnsi="Arial" w:cs="Arial"/>
        </w:rPr>
        <w:t>.</w:t>
      </w:r>
      <w:r w:rsidR="008934A5" w:rsidRPr="005D5932">
        <w:rPr>
          <w:rFonts w:ascii="Arial" w:hAnsi="Arial" w:cs="Arial"/>
          <w:b w:val="0"/>
        </w:rPr>
        <w:t xml:space="preserve"> Slutbehandlingsrater</w:t>
      </w: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A7BBC" w:rsidRPr="005D5932" w14:paraId="02B40F0C" w14:textId="77777777" w:rsidTr="00843883">
        <w:trPr>
          <w:trHeight w:val="686"/>
        </w:trPr>
        <w:tc>
          <w:tcPr>
            <w:tcW w:w="9638" w:type="dxa"/>
            <w:vAlign w:val="center"/>
          </w:tcPr>
          <w:p w14:paraId="3E4546A5" w14:textId="20CA0795" w:rsidR="004A7BBC" w:rsidRPr="001B61B8" w:rsidRDefault="004A7BBC" w:rsidP="00843883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Slutbehandlingsrater (</m:t>
                </m:r>
                <m:r>
                  <w:rPr>
                    <w:rFonts w:ascii="Cambria Math" w:hAnsi="Cambria Math" w:cs="Arial"/>
                    <w:color w:val="9900CC"/>
                  </w:rPr>
                  <m:t>H/E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) (%)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33B9C4"/>
                      </w:rPr>
                      <m:t xml:space="preserve">Slutbehandlet med genanvendelse </m:t>
                    </m:r>
                    <m:r>
                      <w:rPr>
                        <w:rFonts w:ascii="Cambria Math" w:hAnsi="Cambria Math" w:cs="Arial"/>
                        <w:color w:val="33B9C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Arial"/>
                            <w:color w:val="33B9C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33B9C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33B9C4"/>
                          </w:rPr>
                          <m:t>E)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33B9C4"/>
                      </w:rPr>
                      <m:t xml:space="preserve">(ton)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Indsamlet til genanvendelse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E</m:t>
                            </m:r>
                          </m:den>
                        </m:f>
                        <m:ctrlPr>
                          <w:rPr>
                            <w:rFonts w:ascii="Cambria Math" w:hAnsi="Cambria Math" w:cs="Arial"/>
                            <w:color w:val="0070C0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(ton)</m:t>
                    </m:r>
                  </m:den>
                </m:f>
              </m:oMath>
            </m:oMathPara>
          </w:p>
        </w:tc>
      </w:tr>
    </w:tbl>
    <w:p w14:paraId="5F017A56" w14:textId="6D5E679E" w:rsidR="002B2B20" w:rsidRDefault="002B2B20" w:rsidP="00C81AE4">
      <w:pPr>
        <w:rPr>
          <w:rFonts w:ascii="Arial" w:hAnsi="Arial" w:cs="Arial"/>
        </w:rPr>
      </w:pPr>
    </w:p>
    <w:p w14:paraId="59BA0CC3" w14:textId="78DDAEAA" w:rsidR="000E42ED" w:rsidRPr="000103E0" w:rsidRDefault="000E42ED" w:rsidP="000E42ED">
      <w:pPr>
        <w:pStyle w:val="Eksempler"/>
        <w:rPr>
          <w:rFonts w:cs="Arial"/>
        </w:rPr>
      </w:pPr>
      <w:r w:rsidRPr="000103E0">
        <w:rPr>
          <w:rFonts w:cs="Arial"/>
        </w:rPr>
        <w:t>Eksempelvis udregnes slutbehandlingsra</w:t>
      </w:r>
      <w:r w:rsidR="00095428" w:rsidRPr="000103E0">
        <w:rPr>
          <w:rFonts w:cs="Arial"/>
        </w:rPr>
        <w:t xml:space="preserve">ten for metal som den totale </w:t>
      </w:r>
      <w:r w:rsidR="008F38B2">
        <w:rPr>
          <w:rFonts w:cs="Arial"/>
        </w:rPr>
        <w:t xml:space="preserve">slutbehandlede </w:t>
      </w:r>
      <w:r w:rsidR="009273F4">
        <w:rPr>
          <w:rFonts w:cs="Arial"/>
        </w:rPr>
        <w:t xml:space="preserve">genanvendte </w:t>
      </w:r>
      <w:r w:rsidR="00095428" w:rsidRPr="000103E0">
        <w:rPr>
          <w:rFonts w:cs="Arial"/>
        </w:rPr>
        <w:t>mængde af metal (</w:t>
      </w:r>
      <w:r w:rsidRPr="000103E0">
        <w:rPr>
          <w:rFonts w:cs="Arial"/>
        </w:rPr>
        <w:t>syltetøjslåg, cykler og dåser mv</w:t>
      </w:r>
      <w:r w:rsidR="00095428" w:rsidRPr="000103E0">
        <w:rPr>
          <w:rFonts w:cs="Arial"/>
        </w:rPr>
        <w:t>.</w:t>
      </w:r>
      <w:r w:rsidRPr="000103E0">
        <w:rPr>
          <w:rFonts w:cs="Arial"/>
        </w:rPr>
        <w:t xml:space="preserve">) som andel af </w:t>
      </w:r>
      <w:r w:rsidR="009273F4">
        <w:rPr>
          <w:rFonts w:cs="Arial"/>
        </w:rPr>
        <w:t>genanvendelses-</w:t>
      </w:r>
      <w:r w:rsidRPr="000103E0">
        <w:rPr>
          <w:rFonts w:cs="Arial"/>
        </w:rPr>
        <w:t>ordningen for metal (dvs. den indsamlede mængde</w:t>
      </w:r>
      <w:r w:rsidR="00095428" w:rsidRPr="000103E0">
        <w:rPr>
          <w:rFonts w:cs="Arial"/>
        </w:rPr>
        <w:t xml:space="preserve"> inkl. fejlsorteringer</w:t>
      </w:r>
      <w:r w:rsidRPr="000103E0">
        <w:rPr>
          <w:rFonts w:cs="Arial"/>
        </w:rPr>
        <w:t>).</w:t>
      </w:r>
    </w:p>
    <w:p w14:paraId="3947B14B" w14:textId="77777777" w:rsidR="000E42ED" w:rsidRPr="005D5932" w:rsidRDefault="000E42ED" w:rsidP="00C81AE4">
      <w:pPr>
        <w:rPr>
          <w:rFonts w:ascii="Arial" w:hAnsi="Arial" w:cs="Arial"/>
        </w:rPr>
      </w:pPr>
    </w:p>
    <w:p w14:paraId="500DCBCD" w14:textId="568137A4" w:rsidR="00A611C6" w:rsidRPr="005D5932" w:rsidRDefault="00A611C6" w:rsidP="00A611C6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Nævneren </w:t>
      </w:r>
      <w:r w:rsidR="00B471CC">
        <w:rPr>
          <w:rFonts w:ascii="Arial" w:hAnsi="Arial" w:cs="Arial"/>
        </w:rPr>
        <w:t>(</w:t>
      </w:r>
      <w:r w:rsidR="00B471CC" w:rsidRPr="00B471CC">
        <w:rPr>
          <w:rFonts w:ascii="Arial" w:hAnsi="Arial" w:cs="Arial"/>
          <w:color w:val="33B9C4" w:themeColor="accent4"/>
        </w:rPr>
        <w:t>turkis</w:t>
      </w:r>
      <w:r w:rsidR="00B471CC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>og tælleren</w:t>
      </w:r>
      <w:r w:rsidR="00B471CC">
        <w:rPr>
          <w:rFonts w:ascii="Arial" w:hAnsi="Arial" w:cs="Arial"/>
        </w:rPr>
        <w:t xml:space="preserve"> (</w:t>
      </w:r>
      <w:r w:rsidR="00B471CC" w:rsidRPr="00B471CC">
        <w:rPr>
          <w:rFonts w:ascii="Arial" w:hAnsi="Arial" w:cs="Arial"/>
          <w:color w:val="0070C0"/>
        </w:rPr>
        <w:t>blå</w:t>
      </w:r>
      <w:r w:rsidR="00B471CC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 xml:space="preserve"> i </w:t>
      </w:r>
      <w:r w:rsidR="00843883">
        <w:rPr>
          <w:rFonts w:ascii="Arial" w:hAnsi="Arial" w:cs="Arial"/>
        </w:rPr>
        <w:fldChar w:fldCharType="begin"/>
      </w:r>
      <w:r w:rsidR="00843883">
        <w:rPr>
          <w:rFonts w:ascii="Arial" w:hAnsi="Arial" w:cs="Arial"/>
        </w:rPr>
        <w:instrText xml:space="preserve"> REF _Ref157778823 \h </w:instrText>
      </w:r>
      <w:r w:rsidR="00843883">
        <w:rPr>
          <w:rFonts w:ascii="Arial" w:hAnsi="Arial" w:cs="Arial"/>
        </w:rPr>
      </w:r>
      <w:r w:rsidR="00843883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843883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beskrives i de to kommende afsnit. Først forklares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_Ref157778823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Pr="005D5932">
        <w:rPr>
          <w:rFonts w:ascii="Arial" w:hAnsi="Arial" w:cs="Arial"/>
        </w:rPr>
        <w:fldChar w:fldCharType="end"/>
      </w:r>
      <w:r w:rsidR="00B03A10" w:rsidRPr="005D5932">
        <w:rPr>
          <w:rFonts w:ascii="Arial" w:hAnsi="Arial" w:cs="Arial"/>
        </w:rPr>
        <w:t xml:space="preserve"> overordnet herunder.</w:t>
      </w:r>
      <w:r w:rsidRPr="005D5932">
        <w:rPr>
          <w:rFonts w:ascii="Arial" w:hAnsi="Arial" w:cs="Arial"/>
        </w:rPr>
        <w:t xml:space="preserve"> </w:t>
      </w:r>
    </w:p>
    <w:p w14:paraId="4CDFE163" w14:textId="77777777" w:rsidR="00A611C6" w:rsidRPr="005D5932" w:rsidRDefault="00A611C6" w:rsidP="00C81AE4">
      <w:pPr>
        <w:rPr>
          <w:rFonts w:ascii="Arial" w:hAnsi="Arial" w:cs="Arial"/>
        </w:rPr>
      </w:pPr>
    </w:p>
    <w:p w14:paraId="3BD87BA4" w14:textId="76C07E0F" w:rsidR="00A603FB" w:rsidRPr="005D5932" w:rsidRDefault="00693A78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Ligningen ovenfor er beregnet på baggrund af </w:t>
      </w:r>
      <w:r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og ikke </w:t>
      </w:r>
      <w:r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koder. Det havde været mest oplagt at tage udgangspunkt i </w:t>
      </w:r>
      <w:r w:rsidRPr="005D5932">
        <w:rPr>
          <w:rFonts w:ascii="Arial" w:hAnsi="Arial" w:cs="Arial"/>
          <w:i/>
          <w:iCs/>
        </w:rPr>
        <w:t>EAK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idet MW tager udgangspunkt i disse affaldsfraktionskoder. Men </w:t>
      </w:r>
      <w:r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koderne er bygget op om </w:t>
      </w:r>
      <w:r w:rsidR="004964C2" w:rsidRPr="005D5932">
        <w:rPr>
          <w:rFonts w:ascii="Arial" w:hAnsi="Arial" w:cs="Arial"/>
        </w:rPr>
        <w:t>affaldets oprindelse (den branche affaldet kommer fra). Det betyder</w:t>
      </w:r>
      <w:r w:rsidR="000663CC">
        <w:rPr>
          <w:rFonts w:ascii="Arial" w:hAnsi="Arial" w:cs="Arial"/>
        </w:rPr>
        <w:t>,</w:t>
      </w:r>
      <w:r w:rsidR="004964C2" w:rsidRPr="005D5932">
        <w:rPr>
          <w:rFonts w:ascii="Arial" w:hAnsi="Arial" w:cs="Arial"/>
        </w:rPr>
        <w:t xml:space="preserve"> at </w:t>
      </w:r>
      <w:r w:rsidR="004964C2"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="004964C2" w:rsidRPr="005D5932">
        <w:rPr>
          <w:rFonts w:ascii="Arial" w:hAnsi="Arial" w:cs="Arial"/>
        </w:rPr>
        <w:t>koderne</w:t>
      </w:r>
      <w:r w:rsidR="00DD1B8C" w:rsidRPr="005D5932">
        <w:rPr>
          <w:rFonts w:ascii="Arial" w:hAnsi="Arial" w:cs="Arial"/>
        </w:rPr>
        <w:t xml:space="preserve"> </w:t>
      </w:r>
      <w:r w:rsidR="004964C2" w:rsidRPr="005D5932">
        <w:rPr>
          <w:rFonts w:ascii="Arial" w:hAnsi="Arial" w:cs="Arial"/>
        </w:rPr>
        <w:t>skifte</w:t>
      </w:r>
      <w:r w:rsidR="006E2BE9" w:rsidRPr="005D5932">
        <w:rPr>
          <w:rFonts w:ascii="Arial" w:hAnsi="Arial" w:cs="Arial"/>
        </w:rPr>
        <w:t>r</w:t>
      </w:r>
      <w:r w:rsidR="004964C2" w:rsidRPr="005D5932">
        <w:rPr>
          <w:rFonts w:ascii="Arial" w:hAnsi="Arial" w:cs="Arial"/>
        </w:rPr>
        <w:t xml:space="preserve"> undervejs i værdikæden. Det er derfor ikke muligt at spore </w:t>
      </w:r>
      <w:r w:rsidR="00B03A10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B03A10" w:rsidRPr="005D5932">
        <w:rPr>
          <w:rFonts w:ascii="Arial" w:hAnsi="Arial" w:cs="Arial"/>
        </w:rPr>
        <w:t>koderne</w:t>
      </w:r>
      <w:r w:rsidR="004964C2" w:rsidRPr="005D5932">
        <w:rPr>
          <w:rFonts w:ascii="Arial" w:hAnsi="Arial" w:cs="Arial"/>
        </w:rPr>
        <w:t xml:space="preserve"> igennem værdikæden. Derimod er </w:t>
      </w:r>
      <w:r w:rsidR="004964C2"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="004964C2" w:rsidRPr="005D5932">
        <w:rPr>
          <w:rFonts w:ascii="Arial" w:hAnsi="Arial" w:cs="Arial"/>
        </w:rPr>
        <w:t xml:space="preserve">koderne udelukkende bygget op om materialefraktioner, hvorfor de kan følges igennem værdikæden. </w:t>
      </w:r>
      <w:r w:rsidR="00F976F4" w:rsidRPr="005D5932">
        <w:rPr>
          <w:rFonts w:ascii="Arial" w:hAnsi="Arial" w:cs="Arial"/>
        </w:rPr>
        <w:t xml:space="preserve">Det er i udviklingen af modellen vurderet hvilke </w:t>
      </w:r>
      <w:r w:rsidR="00F976F4"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="00F976F4" w:rsidRPr="005D5932">
        <w:rPr>
          <w:rFonts w:ascii="Arial" w:hAnsi="Arial" w:cs="Arial"/>
        </w:rPr>
        <w:t>koder</w:t>
      </w:r>
      <w:r w:rsidR="006E2BE9" w:rsidRPr="005D5932">
        <w:rPr>
          <w:rFonts w:ascii="Arial" w:hAnsi="Arial" w:cs="Arial"/>
        </w:rPr>
        <w:t>,</w:t>
      </w:r>
      <w:r w:rsidR="00F976F4" w:rsidRPr="005D5932">
        <w:rPr>
          <w:rFonts w:ascii="Arial" w:hAnsi="Arial" w:cs="Arial"/>
        </w:rPr>
        <w:t xml:space="preserve"> der indeholder MW.</w:t>
      </w:r>
    </w:p>
    <w:p w14:paraId="53010189" w14:textId="77777777" w:rsidR="005F5E89" w:rsidRPr="005D5932" w:rsidRDefault="005F5E89" w:rsidP="00C81AE4">
      <w:pPr>
        <w:rPr>
          <w:rFonts w:ascii="Arial" w:hAnsi="Arial" w:cs="Arial"/>
        </w:rPr>
      </w:pPr>
    </w:p>
    <w:p w14:paraId="539246D1" w14:textId="67308947" w:rsidR="0054086A" w:rsidRPr="005D5932" w:rsidRDefault="0054086A" w:rsidP="006D6AFC">
      <w:pPr>
        <w:pStyle w:val="Eksempler"/>
        <w:rPr>
          <w:rFonts w:cs="Arial"/>
        </w:rPr>
      </w:pPr>
      <w:r w:rsidRPr="005D5932">
        <w:rPr>
          <w:rFonts w:cs="Arial"/>
        </w:rPr>
        <w:t>Eksempelvis er det vurderet</w:t>
      </w:r>
      <w:r w:rsidR="000663CC">
        <w:rPr>
          <w:rFonts w:cs="Arial"/>
        </w:rPr>
        <w:t>,</w:t>
      </w:r>
      <w:r w:rsidRPr="005D5932">
        <w:rPr>
          <w:rFonts w:cs="Arial"/>
        </w:rPr>
        <w:t xml:space="preserve"> at </w:t>
      </w:r>
      <w:r w:rsidR="006E2BE9" w:rsidRPr="005D5932">
        <w:rPr>
          <w:rFonts w:cs="Arial"/>
        </w:rPr>
        <w:t>”</w:t>
      </w:r>
      <w:r w:rsidRPr="005D5932">
        <w:rPr>
          <w:rFonts w:cs="Arial"/>
          <w:i/>
        </w:rPr>
        <w:t>H/E</w:t>
      </w:r>
      <w:r w:rsidR="008934A5" w:rsidRPr="005D5932">
        <w:rPr>
          <w:rFonts w:cs="Arial"/>
          <w:i/>
        </w:rPr>
        <w:t>08</w:t>
      </w:r>
      <w:r w:rsidR="008934A5" w:rsidRPr="005D5932">
        <w:rPr>
          <w:rFonts w:cs="Arial"/>
        </w:rPr>
        <w:t xml:space="preserve"> Plast</w:t>
      </w:r>
      <w:r w:rsidR="006E2BE9" w:rsidRPr="005D5932">
        <w:rPr>
          <w:rFonts w:cs="Arial"/>
        </w:rPr>
        <w:t>”</w:t>
      </w:r>
      <w:r w:rsidRPr="005D5932">
        <w:rPr>
          <w:rFonts w:cs="Arial"/>
        </w:rPr>
        <w:t xml:space="preserve"> </w:t>
      </w:r>
      <w:r w:rsidR="008934A5" w:rsidRPr="005D5932">
        <w:rPr>
          <w:rFonts w:cs="Arial"/>
        </w:rPr>
        <w:t xml:space="preserve">samt </w:t>
      </w:r>
      <w:r w:rsidR="006E2BE9" w:rsidRPr="005D5932">
        <w:rPr>
          <w:rFonts w:cs="Arial"/>
        </w:rPr>
        <w:t>”</w:t>
      </w:r>
      <w:r w:rsidR="008934A5" w:rsidRPr="005D5932">
        <w:rPr>
          <w:rFonts w:cs="Arial"/>
          <w:i/>
        </w:rPr>
        <w:t>H/E13</w:t>
      </w:r>
      <w:r w:rsidR="008934A5" w:rsidRPr="005D5932">
        <w:rPr>
          <w:rFonts w:cs="Arial"/>
        </w:rPr>
        <w:t xml:space="preserve"> Emballageplast</w:t>
      </w:r>
      <w:r w:rsidR="006E2BE9" w:rsidRPr="005D5932">
        <w:rPr>
          <w:rFonts w:cs="Arial"/>
        </w:rPr>
        <w:t>”</w:t>
      </w:r>
      <w:r w:rsidR="008934A5" w:rsidRPr="005D5932">
        <w:rPr>
          <w:rFonts w:cs="Arial"/>
        </w:rPr>
        <w:t xml:space="preserve"> </w:t>
      </w:r>
      <w:r w:rsidRPr="005D5932">
        <w:rPr>
          <w:rFonts w:cs="Arial"/>
        </w:rPr>
        <w:t xml:space="preserve">dækker over </w:t>
      </w:r>
      <w:r w:rsidRPr="005D5932">
        <w:rPr>
          <w:rFonts w:cs="Arial"/>
          <w:i/>
        </w:rPr>
        <w:t>EAK</w:t>
      </w:r>
      <w:r w:rsidR="00E708CA">
        <w:rPr>
          <w:rFonts w:cs="Arial"/>
        </w:rPr>
        <w:t>-</w:t>
      </w:r>
      <w:r w:rsidRPr="005D5932">
        <w:rPr>
          <w:rFonts w:cs="Arial"/>
        </w:rPr>
        <w:t>kode</w:t>
      </w:r>
      <w:r w:rsidR="008934A5" w:rsidRPr="005D5932">
        <w:rPr>
          <w:rFonts w:cs="Arial"/>
        </w:rPr>
        <w:t xml:space="preserve">rne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15.01.02</w:t>
      </w:r>
      <w:r w:rsidR="008934A5" w:rsidRPr="005D5932">
        <w:rPr>
          <w:rFonts w:cs="Arial"/>
        </w:rPr>
        <w:t xml:space="preserve"> Plastemballage</w:t>
      </w:r>
      <w:r w:rsidR="000663CC">
        <w:rPr>
          <w:rFonts w:cs="Arial"/>
        </w:rPr>
        <w:t>”</w:t>
      </w:r>
      <w:r w:rsidRPr="005D5932">
        <w:rPr>
          <w:rFonts w:cs="Arial"/>
        </w:rPr>
        <w:t xml:space="preserve"> </w:t>
      </w:r>
      <w:r w:rsidR="008934A5" w:rsidRPr="005D5932">
        <w:rPr>
          <w:rFonts w:cs="Arial"/>
        </w:rPr>
        <w:t xml:space="preserve">og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20.01.39</w:t>
      </w:r>
      <w:r w:rsidR="008934A5" w:rsidRPr="005D5932">
        <w:rPr>
          <w:rFonts w:cs="Arial"/>
        </w:rPr>
        <w:t xml:space="preserve"> Plast</w:t>
      </w:r>
      <w:r w:rsidR="000663CC">
        <w:rPr>
          <w:rFonts w:cs="Arial"/>
        </w:rPr>
        <w:t>”</w:t>
      </w:r>
      <w:r w:rsidR="00071624" w:rsidRPr="005D5932">
        <w:rPr>
          <w:rFonts w:cs="Arial"/>
        </w:rPr>
        <w:t xml:space="preserve">, som er en del af MW. Men </w:t>
      </w:r>
      <w:r w:rsidR="00071624" w:rsidRPr="005D5932">
        <w:rPr>
          <w:rFonts w:cs="Arial"/>
          <w:i/>
        </w:rPr>
        <w:t>H/E</w:t>
      </w:r>
      <w:r w:rsidR="00E708CA">
        <w:rPr>
          <w:rFonts w:cs="Arial"/>
        </w:rPr>
        <w:t>-</w:t>
      </w:r>
      <w:r w:rsidR="00071624" w:rsidRPr="005D5932">
        <w:rPr>
          <w:rFonts w:cs="Arial"/>
        </w:rPr>
        <w:t>kode</w:t>
      </w:r>
      <w:r w:rsidR="008934A5" w:rsidRPr="005D5932">
        <w:rPr>
          <w:rFonts w:cs="Arial"/>
        </w:rPr>
        <w:t>rne</w:t>
      </w:r>
      <w:r w:rsidR="00071624" w:rsidRPr="005D5932">
        <w:rPr>
          <w:rFonts w:cs="Arial"/>
        </w:rPr>
        <w:t xml:space="preserve"> dækker desuden over f.eks. </w:t>
      </w:r>
      <w:r w:rsidR="00071624" w:rsidRPr="005D5932">
        <w:rPr>
          <w:rFonts w:cs="Arial"/>
          <w:i/>
        </w:rPr>
        <w:t>EAK</w:t>
      </w:r>
      <w:r w:rsidR="00E708CA">
        <w:rPr>
          <w:rFonts w:cs="Arial"/>
        </w:rPr>
        <w:t>-</w:t>
      </w:r>
      <w:r w:rsidR="00071624" w:rsidRPr="005D5932">
        <w:rPr>
          <w:rFonts w:cs="Arial"/>
        </w:rPr>
        <w:t>koderne</w:t>
      </w:r>
      <w:r w:rsidR="00336B43">
        <w:rPr>
          <w:rFonts w:cs="Arial"/>
        </w:rPr>
        <w:t xml:space="preserve">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02.01.04</w:t>
      </w:r>
      <w:r w:rsidR="008934A5" w:rsidRPr="005D5932">
        <w:rPr>
          <w:rFonts w:cs="Arial"/>
        </w:rPr>
        <w:t xml:space="preserve"> Plastaffald (undtagen emballager)</w:t>
      </w:r>
      <w:r w:rsidR="000663CC">
        <w:rPr>
          <w:rFonts w:cs="Arial"/>
        </w:rPr>
        <w:t>”</w:t>
      </w:r>
      <w:r w:rsidR="008934A5" w:rsidRPr="005D5932">
        <w:rPr>
          <w:rFonts w:cs="Arial"/>
        </w:rPr>
        <w:t xml:space="preserve"> eller</w:t>
      </w:r>
      <w:r w:rsidR="000663CC">
        <w:rPr>
          <w:rFonts w:cs="Arial"/>
        </w:rPr>
        <w:t xml:space="preserve"> ”</w:t>
      </w:r>
      <w:r w:rsidR="008934A5" w:rsidRPr="005D5932">
        <w:rPr>
          <w:rFonts w:cs="Arial"/>
          <w:i/>
        </w:rPr>
        <w:t>07.02.13</w:t>
      </w:r>
      <w:r w:rsidR="008934A5" w:rsidRPr="005D5932">
        <w:rPr>
          <w:rFonts w:cs="Arial"/>
        </w:rPr>
        <w:t xml:space="preserve"> Plastaffald</w:t>
      </w:r>
      <w:r w:rsidR="000663CC">
        <w:rPr>
          <w:rFonts w:cs="Arial"/>
        </w:rPr>
        <w:t>”</w:t>
      </w:r>
      <w:r w:rsidR="005F5E89" w:rsidRPr="005D5932">
        <w:rPr>
          <w:rFonts w:cs="Arial"/>
        </w:rPr>
        <w:t>.</w:t>
      </w:r>
    </w:p>
    <w:p w14:paraId="7E24BB76" w14:textId="77777777" w:rsidR="00087169" w:rsidRPr="005D5932" w:rsidRDefault="00087169" w:rsidP="00C81AE4">
      <w:pPr>
        <w:rPr>
          <w:rFonts w:ascii="Arial" w:hAnsi="Arial" w:cs="Arial"/>
        </w:rPr>
      </w:pPr>
    </w:p>
    <w:p w14:paraId="58BA5D62" w14:textId="4919BF74" w:rsidR="007D44E3" w:rsidRPr="005D5932" w:rsidRDefault="00251052" w:rsidP="00C81AE4">
      <w:pPr>
        <w:rPr>
          <w:rFonts w:ascii="Arial" w:hAnsi="Arial" w:cs="Arial"/>
        </w:rPr>
      </w:pPr>
      <w:r>
        <w:rPr>
          <w:rFonts w:ascii="Arial" w:hAnsi="Arial" w:cs="Arial"/>
        </w:rPr>
        <w:t>Af denne grund</w:t>
      </w:r>
      <w:r w:rsidR="007D44E3" w:rsidRPr="005D5932">
        <w:rPr>
          <w:rFonts w:ascii="Arial" w:hAnsi="Arial" w:cs="Arial"/>
        </w:rPr>
        <w:t xml:space="preserve"> benytte</w:t>
      </w:r>
      <w:r>
        <w:rPr>
          <w:rFonts w:ascii="Arial" w:hAnsi="Arial" w:cs="Arial"/>
        </w:rPr>
        <w:t>s</w:t>
      </w:r>
      <w:r w:rsidR="007D44E3" w:rsidRPr="005D5932">
        <w:rPr>
          <w:rFonts w:ascii="Arial" w:hAnsi="Arial" w:cs="Arial"/>
        </w:rPr>
        <w:t xml:space="preserve"> de slutbehandlede mængder</w:t>
      </w:r>
      <w:r>
        <w:rPr>
          <w:rFonts w:ascii="Arial" w:hAnsi="Arial" w:cs="Arial"/>
        </w:rPr>
        <w:t xml:space="preserve"> opgjort på </w:t>
      </w:r>
      <w:r w:rsidRPr="008F38B2">
        <w:rPr>
          <w:rFonts w:ascii="Arial" w:hAnsi="Arial" w:cs="Arial"/>
          <w:i/>
        </w:rPr>
        <w:t>H/E-koder</w:t>
      </w:r>
      <w:r w:rsidR="007D44E3" w:rsidRPr="005D5932">
        <w:rPr>
          <w:rFonts w:ascii="Arial" w:hAnsi="Arial" w:cs="Arial"/>
        </w:rPr>
        <w:t xml:space="preserve"> (tælleren i </w:t>
      </w:r>
      <w:r w:rsidR="00716C9F" w:rsidRPr="005D5932">
        <w:rPr>
          <w:rFonts w:ascii="Arial" w:hAnsi="Arial" w:cs="Arial"/>
        </w:rPr>
        <w:fldChar w:fldCharType="begin"/>
      </w:r>
      <w:r w:rsidR="00716C9F" w:rsidRPr="005D5932">
        <w:rPr>
          <w:rFonts w:ascii="Arial" w:hAnsi="Arial" w:cs="Arial"/>
        </w:rPr>
        <w:instrText xml:space="preserve"> REF _Ref157778823 \h  \* MERGEFORMAT </w:instrText>
      </w:r>
      <w:r w:rsidR="00716C9F" w:rsidRPr="005D5932">
        <w:rPr>
          <w:rFonts w:ascii="Arial" w:hAnsi="Arial" w:cs="Arial"/>
        </w:rPr>
      </w:r>
      <w:r w:rsidR="00716C9F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716C9F" w:rsidRPr="005D5932">
        <w:rPr>
          <w:rFonts w:ascii="Arial" w:hAnsi="Arial" w:cs="Arial"/>
        </w:rPr>
        <w:fldChar w:fldCharType="end"/>
      </w:r>
      <w:r w:rsidR="007D44E3" w:rsidRPr="005D5932">
        <w:rPr>
          <w:rFonts w:ascii="Arial" w:hAnsi="Arial" w:cs="Arial"/>
        </w:rPr>
        <w:t>)</w:t>
      </w:r>
      <w:r w:rsidR="004964C2" w:rsidRPr="005D59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ikke</w:t>
      </w:r>
      <w:r w:rsidR="00962816" w:rsidRPr="005D5932">
        <w:rPr>
          <w:rFonts w:ascii="Arial" w:hAnsi="Arial" w:cs="Arial"/>
        </w:rPr>
        <w:t xml:space="preserve">, </w:t>
      </w:r>
      <w:r w:rsidR="004964C2" w:rsidRPr="005D5932">
        <w:rPr>
          <w:rFonts w:ascii="Arial" w:hAnsi="Arial" w:cs="Arial"/>
        </w:rPr>
        <w:t>idet</w:t>
      </w:r>
      <w:r w:rsidR="007D44E3" w:rsidRPr="005D5932">
        <w:rPr>
          <w:rFonts w:ascii="Arial" w:hAnsi="Arial" w:cs="Arial"/>
        </w:rPr>
        <w:t xml:space="preserve"> mængde</w:t>
      </w:r>
      <w:r>
        <w:rPr>
          <w:rFonts w:ascii="Arial" w:hAnsi="Arial" w:cs="Arial"/>
        </w:rPr>
        <w:t>n</w:t>
      </w:r>
      <w:r w:rsidR="007D44E3" w:rsidRPr="005D5932">
        <w:rPr>
          <w:rFonts w:ascii="Arial" w:hAnsi="Arial" w:cs="Arial"/>
        </w:rPr>
        <w:t xml:space="preserve"> indeholder mere end blot MW. </w:t>
      </w:r>
    </w:p>
    <w:p w14:paraId="7FDCA507" w14:textId="66411996" w:rsidR="00161D9E" w:rsidRPr="005D5932" w:rsidRDefault="004964C2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Det er en antagelse i modellen</w:t>
      </w:r>
      <w:r w:rsidR="006E2BE9" w:rsidRPr="005D5932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at slutbehandlingsraterne beregnet på </w:t>
      </w:r>
      <w:r w:rsidRPr="005D5932">
        <w:rPr>
          <w:rFonts w:ascii="Arial" w:hAnsi="Arial" w:cs="Arial"/>
          <w:i/>
          <w:iCs/>
        </w:rPr>
        <w:t>H/E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altså materialefraktionsniveau, kan overføres til MW, som beskrevet 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_Ref157778569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E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nedenfor. </w:t>
      </w:r>
    </w:p>
    <w:p w14:paraId="0A09B19E" w14:textId="4D771421" w:rsidR="00A603FB" w:rsidRPr="005D5932" w:rsidRDefault="00A603FB" w:rsidP="006D6AFC">
      <w:pPr>
        <w:rPr>
          <w:rFonts w:ascii="Arial" w:hAnsi="Arial" w:cs="Arial"/>
        </w:rPr>
      </w:pPr>
    </w:p>
    <w:p w14:paraId="045C564C" w14:textId="3FEF4FF3" w:rsidR="00A603FB" w:rsidRPr="005D5932" w:rsidRDefault="00A603FB" w:rsidP="00A603FB">
      <w:pPr>
        <w:pStyle w:val="Billedtekst"/>
        <w:rPr>
          <w:rFonts w:ascii="Arial" w:hAnsi="Arial" w:cs="Arial"/>
          <w:b w:val="0"/>
        </w:rPr>
      </w:pPr>
      <w:bookmarkStart w:id="3" w:name="_Ref157778569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E</w:t>
      </w:r>
      <w:r w:rsidR="00887615">
        <w:rPr>
          <w:rFonts w:ascii="Arial" w:hAnsi="Arial" w:cs="Arial"/>
        </w:rPr>
        <w:fldChar w:fldCharType="end"/>
      </w:r>
      <w:bookmarkEnd w:id="3"/>
      <w:r w:rsidR="008934A5" w:rsidRPr="005D5932">
        <w:rPr>
          <w:rFonts w:ascii="Arial" w:hAnsi="Arial" w:cs="Arial"/>
        </w:rPr>
        <w:t>.</w:t>
      </w:r>
      <w:r w:rsidR="008934A5" w:rsidRPr="005D5932">
        <w:rPr>
          <w:rFonts w:ascii="Arial" w:hAnsi="Arial" w:cs="Arial"/>
          <w:b w:val="0"/>
        </w:rPr>
        <w:t xml:space="preserve"> Antagelse om at slutbehandlingsraterne kan dække over MW.</w:t>
      </w: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87615" w:rsidRPr="005D5932" w14:paraId="0035EDBE" w14:textId="77777777" w:rsidTr="00843883">
        <w:trPr>
          <w:trHeight w:val="403"/>
        </w:trPr>
        <w:tc>
          <w:tcPr>
            <w:tcW w:w="9638" w:type="dxa"/>
            <w:vAlign w:val="center"/>
          </w:tcPr>
          <w:p w14:paraId="77728A70" w14:textId="151F80B7" w:rsidR="004A7BBC" w:rsidRPr="005D5932" w:rsidRDefault="004A7BBC" w:rsidP="00843883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 xml:space="preserve">Slutbehandlingsrater </m:t>
                </m:r>
                <m:d>
                  <m:dPr>
                    <m:ctrlPr>
                      <w:rPr>
                        <w:rFonts w:ascii="Cambria Math" w:hAnsi="Cambria Math" w:cs="Arial"/>
                        <w:color w:val="9900CC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Arial"/>
                            <w:color w:val="9900C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9900CC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9900CC"/>
                          </w:rPr>
                          <m:t>E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 xml:space="preserve"> (%)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≈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Slutbehandlingsrater MW (%)</m:t>
                </m:r>
              </m:oMath>
            </m:oMathPara>
          </w:p>
        </w:tc>
      </w:tr>
    </w:tbl>
    <w:p w14:paraId="7A515DAC" w14:textId="77777777" w:rsidR="00A603FB" w:rsidRPr="005D5932" w:rsidRDefault="00A603FB" w:rsidP="006D6AFC">
      <w:pPr>
        <w:rPr>
          <w:rFonts w:ascii="Arial" w:hAnsi="Arial" w:cs="Arial"/>
        </w:rPr>
      </w:pPr>
    </w:p>
    <w:p w14:paraId="39AC8F0C" w14:textId="77777777" w:rsidR="008E4669" w:rsidRPr="005D5932" w:rsidRDefault="008E4669" w:rsidP="008E4669">
      <w:pPr>
        <w:pStyle w:val="Eksempler"/>
        <w:rPr>
          <w:rFonts w:cs="Arial"/>
        </w:rPr>
      </w:pPr>
      <w:r w:rsidRPr="005D5932">
        <w:rPr>
          <w:rFonts w:cs="Arial"/>
        </w:rPr>
        <w:t>Det vil altså sige, at f.eks. pap fra husholdninger og servicesektoren antages at genanvendes i samme rate som pap fra industrien (affald der ikke er MW).</w:t>
      </w:r>
    </w:p>
    <w:p w14:paraId="2D0993FC" w14:textId="77777777" w:rsidR="008E4669" w:rsidRPr="005D5932" w:rsidRDefault="008E4669">
      <w:pPr>
        <w:rPr>
          <w:rFonts w:ascii="Arial" w:hAnsi="Arial" w:cs="Arial"/>
        </w:rPr>
      </w:pPr>
    </w:p>
    <w:p w14:paraId="2A919EC1" w14:textId="5B5C292C" w:rsidR="00815409" w:rsidRPr="005D5932" w:rsidRDefault="00D45A87" w:rsidP="00815409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Slutbehandlingsraterne </w:t>
      </w:r>
      <w:r w:rsidR="00A611C6" w:rsidRPr="005D5932">
        <w:rPr>
          <w:rFonts w:ascii="Arial" w:hAnsi="Arial" w:cs="Arial"/>
        </w:rPr>
        <w:t>(</w:t>
      </w:r>
      <w:r w:rsidR="00A611C6" w:rsidRPr="005D5932">
        <w:rPr>
          <w:rFonts w:ascii="Arial" w:hAnsi="Arial" w:cs="Arial"/>
        </w:rPr>
        <w:fldChar w:fldCharType="begin"/>
      </w:r>
      <w:r w:rsidR="00A611C6" w:rsidRPr="005D5932">
        <w:rPr>
          <w:rFonts w:ascii="Arial" w:hAnsi="Arial" w:cs="Arial"/>
        </w:rPr>
        <w:instrText xml:space="preserve"> REF _Ref157778823 \h  \* MERGEFORMAT </w:instrText>
      </w:r>
      <w:r w:rsidR="00A611C6" w:rsidRPr="005D5932">
        <w:rPr>
          <w:rFonts w:ascii="Arial" w:hAnsi="Arial" w:cs="Arial"/>
        </w:rPr>
      </w:r>
      <w:r w:rsidR="00A611C6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A611C6" w:rsidRPr="005D5932">
        <w:rPr>
          <w:rFonts w:ascii="Arial" w:hAnsi="Arial" w:cs="Arial"/>
        </w:rPr>
        <w:fldChar w:fldCharType="end"/>
      </w:r>
      <w:r w:rsidR="00A611C6" w:rsidRPr="005D5932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 xml:space="preserve">for de enkelte MW-fraktioner </w:t>
      </w:r>
      <w:r w:rsidR="00C248B1" w:rsidRPr="005D5932">
        <w:rPr>
          <w:rFonts w:ascii="Arial" w:hAnsi="Arial" w:cs="Arial"/>
        </w:rPr>
        <w:t>indikerer den procentdel af affaldet,</w:t>
      </w:r>
      <w:r w:rsidR="000C3FAD">
        <w:rPr>
          <w:rFonts w:ascii="Arial" w:hAnsi="Arial" w:cs="Arial"/>
        </w:rPr>
        <w:t xml:space="preserve"> </w:t>
      </w:r>
      <w:r w:rsidR="000C3FAD" w:rsidRPr="000C3FAD">
        <w:rPr>
          <w:rFonts w:ascii="Arial" w:hAnsi="Arial" w:cs="Arial"/>
        </w:rPr>
        <w:t>der egentlig genavendes som andel af den mængde</w:t>
      </w:r>
      <w:r w:rsidR="00B46762">
        <w:rPr>
          <w:rFonts w:ascii="Arial" w:hAnsi="Arial" w:cs="Arial"/>
        </w:rPr>
        <w:t>,</w:t>
      </w:r>
      <w:r w:rsidR="000C3FAD" w:rsidRPr="000C3FAD">
        <w:rPr>
          <w:rFonts w:ascii="Arial" w:hAnsi="Arial" w:cs="Arial"/>
        </w:rPr>
        <w:t xml:space="preserve"> der er indsamlet i ordningerne til genanvendelse</w:t>
      </w:r>
      <w:r w:rsidRPr="005D5932">
        <w:rPr>
          <w:rFonts w:ascii="Arial" w:hAnsi="Arial" w:cs="Arial"/>
        </w:rPr>
        <w:t>. Dette afviger fra den reelle genanvendelse</w:t>
      </w:r>
      <w:r w:rsidR="00C248B1" w:rsidRPr="005D5932">
        <w:rPr>
          <w:rFonts w:ascii="Arial" w:hAnsi="Arial" w:cs="Arial"/>
        </w:rPr>
        <w:t>s</w:t>
      </w:r>
      <w:r w:rsidRPr="005D5932">
        <w:rPr>
          <w:rFonts w:ascii="Arial" w:hAnsi="Arial" w:cs="Arial"/>
        </w:rPr>
        <w:t>procent</w:t>
      </w:r>
      <w:r w:rsidR="00A611C6" w:rsidRPr="005D5932">
        <w:rPr>
          <w:rFonts w:ascii="Arial" w:hAnsi="Arial" w:cs="Arial"/>
        </w:rPr>
        <w:t xml:space="preserve"> (resultatet i </w:t>
      </w:r>
      <w:r w:rsidR="00A611C6" w:rsidRPr="005D5932">
        <w:rPr>
          <w:rFonts w:ascii="Arial" w:hAnsi="Arial" w:cs="Arial"/>
        </w:rPr>
        <w:fldChar w:fldCharType="begin"/>
      </w:r>
      <w:r w:rsidR="00A611C6" w:rsidRPr="005D5932">
        <w:rPr>
          <w:rFonts w:ascii="Arial" w:hAnsi="Arial" w:cs="Arial"/>
        </w:rPr>
        <w:instrText xml:space="preserve"> REF _Ref157766499 \h  \* MERGEFORMAT </w:instrText>
      </w:r>
      <w:r w:rsidR="00A611C6" w:rsidRPr="005D5932">
        <w:rPr>
          <w:rFonts w:ascii="Arial" w:hAnsi="Arial" w:cs="Arial"/>
        </w:rPr>
      </w:r>
      <w:r w:rsidR="00A611C6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="00A611C6" w:rsidRPr="005D5932">
        <w:rPr>
          <w:rFonts w:ascii="Arial" w:hAnsi="Arial" w:cs="Arial"/>
        </w:rPr>
        <w:fldChar w:fldCharType="end"/>
      </w:r>
      <w:r w:rsidR="00A611C6" w:rsidRPr="005D5932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>,</w:t>
      </w:r>
      <w:r w:rsidR="00C248B1" w:rsidRPr="005D5932">
        <w:rPr>
          <w:rFonts w:ascii="Arial" w:hAnsi="Arial" w:cs="Arial"/>
        </w:rPr>
        <w:t xml:space="preserve"> idet der kun </w:t>
      </w:r>
      <w:r w:rsidR="00A611C6" w:rsidRPr="005D5932">
        <w:rPr>
          <w:rFonts w:ascii="Arial" w:hAnsi="Arial" w:cs="Arial"/>
        </w:rPr>
        <w:t>ses</w:t>
      </w:r>
      <w:r w:rsidR="00C248B1" w:rsidRPr="005D5932">
        <w:rPr>
          <w:rFonts w:ascii="Arial" w:hAnsi="Arial" w:cs="Arial"/>
        </w:rPr>
        <w:t xml:space="preserve"> på den del af affaldet</w:t>
      </w:r>
      <w:r w:rsidR="006E2BE9" w:rsidRPr="005D5932">
        <w:rPr>
          <w:rFonts w:ascii="Arial" w:hAnsi="Arial" w:cs="Arial"/>
        </w:rPr>
        <w:t>,</w:t>
      </w:r>
      <w:r w:rsidR="00C248B1" w:rsidRPr="005D5932">
        <w:rPr>
          <w:rFonts w:ascii="Arial" w:hAnsi="Arial" w:cs="Arial"/>
        </w:rPr>
        <w:t xml:space="preserve"> der er sorteret og indsamlet til genanvendelse, og ikke den mængde der går til alternativ behandling såsom forbrænding. </w:t>
      </w:r>
      <w:r w:rsidR="000C3FAD" w:rsidRPr="000C3FAD">
        <w:rPr>
          <w:rFonts w:ascii="Arial" w:hAnsi="Arial" w:cs="Arial"/>
        </w:rPr>
        <w:t>Den reelle genanvendelsesprocent beskriver mængden</w:t>
      </w:r>
      <w:r w:rsidR="00B46762">
        <w:rPr>
          <w:rFonts w:ascii="Arial" w:hAnsi="Arial" w:cs="Arial"/>
        </w:rPr>
        <w:t>,</w:t>
      </w:r>
      <w:r w:rsidR="000C3FAD" w:rsidRPr="000C3FAD">
        <w:rPr>
          <w:rFonts w:ascii="Arial" w:hAnsi="Arial" w:cs="Arial"/>
        </w:rPr>
        <w:t xml:space="preserve"> der er reel</w:t>
      </w:r>
      <w:r w:rsidR="000C3FAD">
        <w:rPr>
          <w:rFonts w:ascii="Arial" w:hAnsi="Arial" w:cs="Arial"/>
        </w:rPr>
        <w:t>t</w:t>
      </w:r>
      <w:r w:rsidR="000C3FAD" w:rsidRPr="000C3FAD">
        <w:rPr>
          <w:rFonts w:ascii="Arial" w:hAnsi="Arial" w:cs="Arial"/>
        </w:rPr>
        <w:t xml:space="preserve"> genanvendt som andel af den totale genererede affaldsmængde</w:t>
      </w:r>
      <w:r w:rsidR="000C3FAD">
        <w:rPr>
          <w:rFonts w:ascii="Arial" w:hAnsi="Arial" w:cs="Arial"/>
        </w:rPr>
        <w:t>.</w:t>
      </w:r>
    </w:p>
    <w:p w14:paraId="2465FD17" w14:textId="5A7B6437" w:rsidR="00F05521" w:rsidRPr="00046FBE" w:rsidRDefault="003B7265" w:rsidP="00046FBE">
      <w:pPr>
        <w:pStyle w:val="Overskrift3"/>
      </w:pPr>
      <w:r w:rsidRPr="00046FBE">
        <w:t>Mængde MW</w:t>
      </w:r>
      <w:r w:rsidR="00392A7F" w:rsidRPr="00046FBE">
        <w:t xml:space="preserve"> (H/E)</w:t>
      </w:r>
      <w:r w:rsidRPr="00046FBE">
        <w:t xml:space="preserve"> s</w:t>
      </w:r>
      <w:r w:rsidR="00F05521" w:rsidRPr="00046FBE">
        <w:t xml:space="preserve">lutbehandlet med genanvendelse </w:t>
      </w:r>
      <w:r w:rsidR="00994DBC" w:rsidRPr="00046FBE">
        <w:t>(</w:t>
      </w:r>
      <w:r w:rsidR="00994DBC" w:rsidRPr="00046FBE">
        <w:rPr>
          <w:color w:val="33B9C4" w:themeColor="accent4"/>
        </w:rPr>
        <w:t>tælleren i</w:t>
      </w:r>
      <w:r w:rsidR="00D03C44" w:rsidRPr="00046FBE">
        <w:rPr>
          <w:color w:val="33B9C4" w:themeColor="accent4"/>
        </w:rPr>
        <w:t xml:space="preserve"> </w:t>
      </w:r>
      <w:r w:rsidR="00887615" w:rsidRPr="00046FBE">
        <w:rPr>
          <w:color w:val="33B9C4" w:themeColor="accent4"/>
        </w:rPr>
        <w:fldChar w:fldCharType="begin"/>
      </w:r>
      <w:r w:rsidR="00887615" w:rsidRPr="00046FBE">
        <w:rPr>
          <w:color w:val="33B9C4" w:themeColor="accent4"/>
        </w:rPr>
        <w:instrText xml:space="preserve"> REF _Ref157778823 \h </w:instrText>
      </w:r>
      <w:r w:rsidR="00046FBE" w:rsidRPr="00046FBE">
        <w:rPr>
          <w:color w:val="33B9C4" w:themeColor="accent4"/>
        </w:rPr>
        <w:instrText xml:space="preserve"> \* MERGEFORMAT </w:instrText>
      </w:r>
      <w:r w:rsidR="00887615" w:rsidRPr="00046FBE">
        <w:rPr>
          <w:color w:val="33B9C4" w:themeColor="accent4"/>
        </w:rPr>
      </w:r>
      <w:r w:rsidR="00887615" w:rsidRPr="00046FBE">
        <w:rPr>
          <w:color w:val="33B9C4" w:themeColor="accent4"/>
        </w:rPr>
        <w:fldChar w:fldCharType="separate"/>
      </w:r>
      <w:r w:rsidR="00EE4DEB" w:rsidRPr="00046FBE">
        <w:rPr>
          <w:color w:val="33B9C4" w:themeColor="accent4"/>
        </w:rPr>
        <w:t>Ligning D</w:t>
      </w:r>
      <w:r w:rsidR="00887615" w:rsidRPr="00046FBE">
        <w:rPr>
          <w:color w:val="33B9C4" w:themeColor="accent4"/>
        </w:rPr>
        <w:fldChar w:fldCharType="end"/>
      </w:r>
      <w:r w:rsidR="00994DBC" w:rsidRPr="00046FBE">
        <w:t>)</w:t>
      </w:r>
    </w:p>
    <w:p w14:paraId="4418324E" w14:textId="711D5D29" w:rsidR="00A611C6" w:rsidRPr="005D5932" w:rsidRDefault="00E739B0" w:rsidP="00A611C6">
      <w:pPr>
        <w:rPr>
          <w:rFonts w:ascii="Arial" w:hAnsi="Arial" w:cs="Arial"/>
        </w:rPr>
      </w:pPr>
      <w:r w:rsidRPr="005D5932">
        <w:rPr>
          <w:rFonts w:ascii="Arial" w:hAnsi="Arial" w:cs="Arial"/>
        </w:rPr>
        <w:t>Her beskrives tælleren i</w:t>
      </w:r>
      <w:r w:rsidR="00D03C44" w:rsidRPr="005D5932">
        <w:rPr>
          <w:rFonts w:ascii="Arial" w:hAnsi="Arial" w:cs="Arial"/>
        </w:rPr>
        <w:t xml:space="preserve">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REF _Ref157778823 \h </w:instrText>
      </w:r>
      <w:r w:rsidR="00887615">
        <w:rPr>
          <w:rFonts w:ascii="Arial" w:hAnsi="Arial" w:cs="Arial"/>
        </w:rPr>
      </w:r>
      <w:r w:rsidR="00887615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887615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. </w:t>
      </w:r>
    </w:p>
    <w:p w14:paraId="7999A44B" w14:textId="77777777" w:rsidR="00A611C6" w:rsidRPr="005D5932" w:rsidRDefault="00A611C6" w:rsidP="00A611C6">
      <w:pPr>
        <w:rPr>
          <w:rFonts w:ascii="Arial" w:hAnsi="Arial" w:cs="Arial"/>
        </w:rPr>
      </w:pPr>
    </w:p>
    <w:p w14:paraId="523E5CAC" w14:textId="42767526" w:rsidR="00517D9F" w:rsidRPr="005D5932" w:rsidRDefault="00833901" w:rsidP="009C744D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Den slutbehandlede mængde er </w:t>
      </w:r>
      <w:r w:rsidR="008A00F6" w:rsidRPr="005D5932">
        <w:rPr>
          <w:rFonts w:ascii="Arial" w:hAnsi="Arial" w:cs="Arial"/>
        </w:rPr>
        <w:t xml:space="preserve">opgjort </w:t>
      </w:r>
      <w:r w:rsidR="00357D68" w:rsidRPr="005D5932">
        <w:rPr>
          <w:rFonts w:ascii="Arial" w:hAnsi="Arial" w:cs="Arial"/>
        </w:rPr>
        <w:t xml:space="preserve">ud fra </w:t>
      </w:r>
      <w:r w:rsidR="00905FB7" w:rsidRPr="005D5932">
        <w:rPr>
          <w:rFonts w:ascii="Arial" w:hAnsi="Arial" w:cs="Arial"/>
        </w:rPr>
        <w:t>affalds</w:t>
      </w:r>
      <w:r w:rsidR="00397BF7" w:rsidRPr="005D5932">
        <w:rPr>
          <w:rFonts w:ascii="Arial" w:hAnsi="Arial" w:cs="Arial"/>
        </w:rPr>
        <w:t>data</w:t>
      </w:r>
      <w:r w:rsidR="00357D68" w:rsidRPr="005D5932">
        <w:rPr>
          <w:rFonts w:ascii="Arial" w:hAnsi="Arial" w:cs="Arial"/>
        </w:rPr>
        <w:t xml:space="preserve">indberetninger </w:t>
      </w:r>
      <w:r w:rsidR="009A75F7" w:rsidRPr="005D5932">
        <w:rPr>
          <w:rFonts w:ascii="Arial" w:hAnsi="Arial" w:cs="Arial"/>
        </w:rPr>
        <w:t>fra</w:t>
      </w:r>
      <w:r w:rsidR="00357D68" w:rsidRPr="005D5932">
        <w:rPr>
          <w:rFonts w:ascii="Arial" w:hAnsi="Arial" w:cs="Arial"/>
        </w:rPr>
        <w:t xml:space="preserve"> </w:t>
      </w:r>
      <w:r w:rsidR="00905FB7" w:rsidRPr="005D5932">
        <w:rPr>
          <w:rFonts w:ascii="Arial" w:hAnsi="Arial" w:cs="Arial"/>
        </w:rPr>
        <w:t>anlæg, der af Miljøstyrelsen er vurderet til at være slutbehandlingsanlæg</w:t>
      </w:r>
      <w:r w:rsidR="00815409" w:rsidRPr="005D5932">
        <w:rPr>
          <w:rFonts w:ascii="Arial" w:hAnsi="Arial" w:cs="Arial"/>
        </w:rPr>
        <w:t>.</w:t>
      </w:r>
      <w:r w:rsidR="000B0EF1" w:rsidRPr="005D5932">
        <w:rPr>
          <w:rFonts w:ascii="Arial" w:hAnsi="Arial" w:cs="Arial"/>
        </w:rPr>
        <w:t xml:space="preserve"> </w:t>
      </w:r>
      <w:r w:rsidR="00517D9F" w:rsidRPr="005D5932">
        <w:rPr>
          <w:rFonts w:ascii="Arial" w:hAnsi="Arial" w:cs="Arial"/>
        </w:rPr>
        <w:t>Disse er vurderet på baggrund af ADS</w:t>
      </w:r>
      <w:r w:rsidR="00B46762">
        <w:rPr>
          <w:rFonts w:ascii="Arial" w:hAnsi="Arial" w:cs="Arial"/>
        </w:rPr>
        <w:t>-</w:t>
      </w:r>
      <w:r w:rsidR="00517D9F" w:rsidRPr="005D5932">
        <w:rPr>
          <w:rFonts w:ascii="Arial" w:hAnsi="Arial" w:cs="Arial"/>
        </w:rPr>
        <w:t>indberetninger samt branchekendskab. Listen indeholder over 350 genanvendelsesanlæg</w:t>
      </w:r>
      <w:r w:rsidR="004D5630" w:rsidRPr="005D5932">
        <w:rPr>
          <w:rFonts w:ascii="Arial" w:hAnsi="Arial" w:cs="Arial"/>
        </w:rPr>
        <w:t xml:space="preserve"> i Danmark</w:t>
      </w:r>
      <w:r w:rsidR="00517D9F" w:rsidRPr="005D5932">
        <w:rPr>
          <w:rFonts w:ascii="Arial" w:hAnsi="Arial" w:cs="Arial"/>
        </w:rPr>
        <w:t xml:space="preserve">. </w:t>
      </w:r>
      <w:r w:rsidR="000B0EF1" w:rsidRPr="005D5932">
        <w:rPr>
          <w:rFonts w:ascii="Arial" w:hAnsi="Arial" w:cs="Arial"/>
        </w:rPr>
        <w:t xml:space="preserve">Med </w:t>
      </w:r>
      <w:r w:rsidR="00E638C0" w:rsidRPr="005D5932">
        <w:rPr>
          <w:rFonts w:ascii="Arial" w:hAnsi="Arial" w:cs="Arial"/>
        </w:rPr>
        <w:t xml:space="preserve">slutbehandlingsanlæg </w:t>
      </w:r>
      <w:r w:rsidR="000B0EF1" w:rsidRPr="005D5932">
        <w:rPr>
          <w:rFonts w:ascii="Arial" w:hAnsi="Arial" w:cs="Arial"/>
        </w:rPr>
        <w:t xml:space="preserve">forstås anlæg, som laver den endelige oparbejdning af </w:t>
      </w:r>
      <w:r w:rsidR="00E638C0" w:rsidRPr="005D5932">
        <w:rPr>
          <w:rFonts w:ascii="Arial" w:hAnsi="Arial" w:cs="Arial"/>
        </w:rPr>
        <w:t xml:space="preserve">hele eller </w:t>
      </w:r>
      <w:r w:rsidR="000B0EF1" w:rsidRPr="005D5932">
        <w:rPr>
          <w:rFonts w:ascii="Arial" w:hAnsi="Arial" w:cs="Arial"/>
        </w:rPr>
        <w:t xml:space="preserve">en delmængde af det affald, de modtager. Ved den endelige oparbejdning (=slutbehandling) ophører affaldet med at være affald. </w:t>
      </w:r>
      <w:r w:rsidR="00BB7FA8" w:rsidRPr="005D5932">
        <w:rPr>
          <w:rFonts w:ascii="Arial" w:hAnsi="Arial" w:cs="Arial"/>
        </w:rPr>
        <w:t>Dette er, som beskrevet tidligere</w:t>
      </w:r>
      <w:r w:rsidR="00725F3E" w:rsidRPr="005D5932">
        <w:rPr>
          <w:rFonts w:ascii="Arial" w:hAnsi="Arial" w:cs="Arial"/>
        </w:rPr>
        <w:t>,</w:t>
      </w:r>
      <w:r w:rsidR="00BB7FA8" w:rsidRPr="005D5932">
        <w:rPr>
          <w:rFonts w:ascii="Arial" w:hAnsi="Arial" w:cs="Arial"/>
        </w:rPr>
        <w:t xml:space="preserve"> det punkt i ADS </w:t>
      </w:r>
      <w:r w:rsidR="00B10AE1" w:rsidRPr="005D5932">
        <w:rPr>
          <w:rFonts w:ascii="Arial" w:hAnsi="Arial" w:cs="Arial"/>
        </w:rPr>
        <w:t>som vurderes at være tættest på EU's beregningspunkter for reel genanvendelse.</w:t>
      </w:r>
    </w:p>
    <w:p w14:paraId="70F86AB5" w14:textId="77777777" w:rsidR="00517D9F" w:rsidRPr="005D5932" w:rsidRDefault="00517D9F" w:rsidP="009C744D">
      <w:pPr>
        <w:rPr>
          <w:rFonts w:ascii="Arial" w:hAnsi="Arial" w:cs="Arial"/>
        </w:rPr>
      </w:pPr>
    </w:p>
    <w:p w14:paraId="19A0281F" w14:textId="1B08083F" w:rsidR="00E638C0" w:rsidRPr="005D5932" w:rsidRDefault="00517D9F" w:rsidP="009C744D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Derudover inddrages mængder der eksporteres</w:t>
      </w:r>
      <w:r w:rsidR="00F860D9">
        <w:rPr>
          <w:rFonts w:ascii="Arial" w:hAnsi="Arial" w:cs="Arial"/>
        </w:rPr>
        <w:t>. For 2021 indberetningerne benyttes tabsrater fra litteraturen til bestemmelse af</w:t>
      </w:r>
      <w:r w:rsidR="00B46762">
        <w:rPr>
          <w:rFonts w:ascii="Arial" w:hAnsi="Arial" w:cs="Arial"/>
        </w:rPr>
        <w:t>,</w:t>
      </w:r>
      <w:r w:rsidR="00F860D9">
        <w:rPr>
          <w:rFonts w:ascii="Arial" w:hAnsi="Arial" w:cs="Arial"/>
        </w:rPr>
        <w:t xml:space="preserve"> hvor meget af den eksporterede mængde der reelt genanvendes. Fra 2022 data inddrages</w:t>
      </w:r>
      <w:r w:rsidRPr="005D5932">
        <w:rPr>
          <w:rFonts w:ascii="Arial" w:hAnsi="Arial" w:cs="Arial"/>
        </w:rPr>
        <w:t xml:space="preserve"> den reelle genanvendelse angivet i ADS-indberetningerne.</w:t>
      </w:r>
    </w:p>
    <w:p w14:paraId="3DF90A41" w14:textId="3F72EF39" w:rsidR="009C744D" w:rsidRPr="005D5932" w:rsidRDefault="009C744D" w:rsidP="009C744D">
      <w:pPr>
        <w:rPr>
          <w:rFonts w:ascii="Arial" w:hAnsi="Arial" w:cs="Arial"/>
        </w:rPr>
      </w:pPr>
    </w:p>
    <w:p w14:paraId="4B10E579" w14:textId="44EA3CEC" w:rsidR="00397BF7" w:rsidRPr="005D5932" w:rsidRDefault="00E739B0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Når det skal vurderes, hvad der udgør slutbehandlet MW fra de valgte slutbehandlingsanlæg, tages affaldets indberettede </w:t>
      </w:r>
      <w:r w:rsidRPr="005D5932">
        <w:rPr>
          <w:rFonts w:ascii="Arial" w:hAnsi="Arial" w:cs="Arial"/>
          <w:i/>
          <w:iCs/>
        </w:rPr>
        <w:t>H/E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 i kombination med dets </w:t>
      </w:r>
      <w:r w:rsidRPr="005D5932">
        <w:rPr>
          <w:rFonts w:ascii="Arial" w:hAnsi="Arial" w:cs="Arial"/>
          <w:i/>
          <w:iCs/>
        </w:rPr>
        <w:t>R/D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>koder</w:t>
      </w:r>
      <w:r w:rsidR="004403B1" w:rsidRPr="005D5932">
        <w:rPr>
          <w:rStyle w:val="Fodnotehenvisning"/>
          <w:rFonts w:cs="Arial"/>
        </w:rPr>
        <w:footnoteReference w:id="8"/>
      </w:r>
      <w:r w:rsidRPr="005D5932">
        <w:rPr>
          <w:rFonts w:ascii="Arial" w:hAnsi="Arial" w:cs="Arial"/>
        </w:rPr>
        <w:t xml:space="preserve"> i betragtning.</w:t>
      </w:r>
      <w:r w:rsidR="00815409" w:rsidRPr="005D5932">
        <w:rPr>
          <w:rFonts w:ascii="Arial" w:hAnsi="Arial" w:cs="Arial"/>
        </w:rPr>
        <w:t xml:space="preserve"> </w:t>
      </w:r>
      <w:r w:rsidR="00815409" w:rsidRPr="005D5932">
        <w:rPr>
          <w:rFonts w:ascii="Arial" w:hAnsi="Arial" w:cs="Arial"/>
          <w:i/>
          <w:iCs/>
        </w:rPr>
        <w:t>H</w:t>
      </w:r>
      <w:r w:rsidR="00D06600" w:rsidRPr="005D5932">
        <w:rPr>
          <w:rFonts w:ascii="Arial" w:hAnsi="Arial" w:cs="Arial"/>
          <w:i/>
          <w:iCs/>
        </w:rPr>
        <w:t>/</w:t>
      </w:r>
      <w:r w:rsidR="00815409" w:rsidRPr="005D5932">
        <w:rPr>
          <w:rFonts w:ascii="Arial" w:hAnsi="Arial" w:cs="Arial"/>
          <w:i/>
          <w:iCs/>
        </w:rPr>
        <w:t>E</w:t>
      </w:r>
      <w:r w:rsidR="00E708CA">
        <w:rPr>
          <w:rFonts w:ascii="Arial" w:hAnsi="Arial" w:cs="Arial"/>
        </w:rPr>
        <w:t>-</w:t>
      </w:r>
      <w:r w:rsidR="00815409" w:rsidRPr="005D5932">
        <w:rPr>
          <w:rFonts w:ascii="Arial" w:hAnsi="Arial" w:cs="Arial"/>
        </w:rPr>
        <w:t>koder</w:t>
      </w:r>
      <w:r w:rsidR="00A83764" w:rsidRPr="005D5932">
        <w:rPr>
          <w:rFonts w:ascii="Arial" w:hAnsi="Arial" w:cs="Arial"/>
        </w:rPr>
        <w:t xml:space="preserve"> benyttes</w:t>
      </w:r>
      <w:r w:rsidR="00815409" w:rsidRPr="005D5932">
        <w:rPr>
          <w:rFonts w:ascii="Arial" w:hAnsi="Arial" w:cs="Arial"/>
        </w:rPr>
        <w:t xml:space="preserve"> i stedet </w:t>
      </w:r>
      <w:r w:rsidR="00A83764" w:rsidRPr="005D5932">
        <w:rPr>
          <w:rFonts w:ascii="Arial" w:hAnsi="Arial" w:cs="Arial"/>
        </w:rPr>
        <w:t xml:space="preserve">for </w:t>
      </w:r>
      <w:r w:rsidR="00A83764" w:rsidRPr="005D5932">
        <w:rPr>
          <w:rFonts w:ascii="Arial" w:hAnsi="Arial" w:cs="Arial"/>
          <w:i/>
          <w:iCs/>
        </w:rPr>
        <w:t>EAK</w:t>
      </w:r>
      <w:r w:rsidR="00E708CA">
        <w:rPr>
          <w:rFonts w:ascii="Arial" w:hAnsi="Arial" w:cs="Arial"/>
        </w:rPr>
        <w:t>-</w:t>
      </w:r>
      <w:r w:rsidR="00A83764" w:rsidRPr="005D5932">
        <w:rPr>
          <w:rFonts w:ascii="Arial" w:hAnsi="Arial" w:cs="Arial"/>
        </w:rPr>
        <w:t>koder</w:t>
      </w:r>
      <w:r w:rsidR="00087169" w:rsidRPr="005D5932">
        <w:rPr>
          <w:rFonts w:ascii="Arial" w:hAnsi="Arial" w:cs="Arial"/>
        </w:rPr>
        <w:t>, som tidligere forklaret</w:t>
      </w:r>
      <w:r w:rsidR="00815409" w:rsidRPr="005D5932">
        <w:rPr>
          <w:rFonts w:ascii="Arial" w:hAnsi="Arial" w:cs="Arial"/>
        </w:rPr>
        <w:t xml:space="preserve">, idet </w:t>
      </w:r>
      <w:r w:rsidR="00815409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815409" w:rsidRPr="005D5932">
        <w:rPr>
          <w:rFonts w:ascii="Arial" w:hAnsi="Arial" w:cs="Arial"/>
        </w:rPr>
        <w:t>koderne skifter i ADS-indberetningerne undervejs i affaldsværdikæden</w:t>
      </w:r>
      <w:r w:rsidR="00905FB7" w:rsidRPr="005D5932">
        <w:rPr>
          <w:rFonts w:ascii="Arial" w:hAnsi="Arial" w:cs="Arial"/>
        </w:rPr>
        <w:t xml:space="preserve">. </w:t>
      </w:r>
    </w:p>
    <w:p w14:paraId="172BF42E" w14:textId="77777777" w:rsidR="00397BF7" w:rsidRPr="005D5932" w:rsidRDefault="00397BF7" w:rsidP="00397BF7">
      <w:pPr>
        <w:rPr>
          <w:rFonts w:ascii="Arial" w:hAnsi="Arial" w:cs="Arial"/>
        </w:rPr>
      </w:pPr>
    </w:p>
    <w:p w14:paraId="0C433FB6" w14:textId="67CC2A85" w:rsidR="00397BF7" w:rsidRPr="005D5932" w:rsidRDefault="00397BF7" w:rsidP="00397BF7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 slutbehandlede mængder indeholder dermed både affaldsfraktioner indsamlet fra deres tilsigtede affaldsordning, samt fra fejlsorteringer i andre affaldsordninger, som senere er udsorteret til genanvendelse. </w:t>
      </w:r>
      <w:r w:rsidR="00D06600" w:rsidRPr="005D5932">
        <w:rPr>
          <w:rFonts w:ascii="Arial" w:hAnsi="Arial" w:cs="Arial"/>
        </w:rPr>
        <w:t xml:space="preserve">Der fokuseres på </w:t>
      </w:r>
      <w:r w:rsidR="00D06600" w:rsidRPr="005D5932">
        <w:rPr>
          <w:rFonts w:ascii="Arial" w:hAnsi="Arial" w:cs="Arial"/>
          <w:i/>
        </w:rPr>
        <w:t>H/E</w:t>
      </w:r>
      <w:r w:rsidR="00E708CA">
        <w:rPr>
          <w:rFonts w:ascii="Arial" w:hAnsi="Arial" w:cs="Arial"/>
        </w:rPr>
        <w:t>-</w:t>
      </w:r>
      <w:r w:rsidR="00D06600" w:rsidRPr="005D5932">
        <w:rPr>
          <w:rFonts w:ascii="Arial" w:hAnsi="Arial" w:cs="Arial"/>
        </w:rPr>
        <w:t xml:space="preserve">koderne, og dermed materialefraktionerne. </w:t>
      </w:r>
    </w:p>
    <w:p w14:paraId="5306A301" w14:textId="4CEE21F6" w:rsidR="00013DC4" w:rsidRPr="005D5932" w:rsidRDefault="00397BF7" w:rsidP="006D6AFC">
      <w:pPr>
        <w:pStyle w:val="Eksempler"/>
        <w:rPr>
          <w:rFonts w:cs="Arial"/>
          <w:color w:val="006381" w:themeColor="accent3" w:themeShade="BF"/>
        </w:rPr>
      </w:pPr>
      <w:r w:rsidRPr="005D5932">
        <w:rPr>
          <w:rFonts w:cs="Arial"/>
        </w:rPr>
        <w:t>Eksempelvis indeholder slutbehandlingsraten for metal både metal indsamlet i ordningen for metal, men ligeledes syltetøjslåg fra ordningen fra glas.</w:t>
      </w:r>
      <w:r w:rsidR="007E1AD5" w:rsidRPr="005D5932">
        <w:rPr>
          <w:rFonts w:cs="Arial"/>
        </w:rPr>
        <w:t xml:space="preserve"> Metallet fra begge vil sandsynligvis blive behandlet samlet på de samme anlæg, hvorfor der ikke kan skelnes mellem dette i ADS indberetningerne.</w:t>
      </w:r>
    </w:p>
    <w:p w14:paraId="5316349B" w14:textId="474A7620" w:rsidR="00972E72" w:rsidRPr="00046FBE" w:rsidRDefault="008B6F11" w:rsidP="00046FBE">
      <w:pPr>
        <w:pStyle w:val="Overskrift3"/>
      </w:pPr>
      <w:r w:rsidRPr="00046FBE">
        <w:t>M</w:t>
      </w:r>
      <w:r w:rsidR="00972E72" w:rsidRPr="00046FBE">
        <w:t>ængde MW</w:t>
      </w:r>
      <w:r w:rsidR="00392A7F" w:rsidRPr="00046FBE">
        <w:t xml:space="preserve"> (H/E)</w:t>
      </w:r>
      <w:r w:rsidR="00972E72" w:rsidRPr="00046FBE">
        <w:t xml:space="preserve"> </w:t>
      </w:r>
      <w:r w:rsidRPr="00046FBE">
        <w:t>indsamlet til genanvendelse</w:t>
      </w:r>
      <w:r w:rsidR="00994DBC" w:rsidRPr="00046FBE">
        <w:t xml:space="preserve"> (</w:t>
      </w:r>
      <w:r w:rsidR="00994DBC" w:rsidRPr="00B471CC">
        <w:rPr>
          <w:color w:val="0070C0"/>
        </w:rPr>
        <w:t>nævneren i</w:t>
      </w:r>
      <w:r w:rsidR="00046FBE" w:rsidRPr="00B471CC">
        <w:rPr>
          <w:color w:val="0070C0"/>
        </w:rPr>
        <w:t xml:space="preserve"> </w:t>
      </w:r>
      <w:r w:rsidR="00046FBE" w:rsidRPr="00B471CC">
        <w:rPr>
          <w:color w:val="0070C0"/>
        </w:rPr>
        <w:fldChar w:fldCharType="begin"/>
      </w:r>
      <w:r w:rsidR="00046FBE" w:rsidRPr="00B471CC">
        <w:rPr>
          <w:color w:val="0070C0"/>
        </w:rPr>
        <w:instrText xml:space="preserve"> REF _Ref157778823 \h  \* MERGEFORMAT </w:instrText>
      </w:r>
      <w:r w:rsidR="00046FBE" w:rsidRPr="00B471CC">
        <w:rPr>
          <w:color w:val="0070C0"/>
        </w:rPr>
      </w:r>
      <w:r w:rsidR="00046FBE" w:rsidRPr="00B471CC">
        <w:rPr>
          <w:color w:val="0070C0"/>
        </w:rPr>
        <w:fldChar w:fldCharType="separate"/>
      </w:r>
      <w:r w:rsidR="00046FBE" w:rsidRPr="00B471CC">
        <w:rPr>
          <w:color w:val="0070C0"/>
        </w:rPr>
        <w:t>Ligning D</w:t>
      </w:r>
      <w:r w:rsidR="00046FBE" w:rsidRPr="00B471CC">
        <w:rPr>
          <w:color w:val="0070C0"/>
        </w:rPr>
        <w:fldChar w:fldCharType="end"/>
      </w:r>
      <w:r w:rsidR="00994DBC" w:rsidRPr="00046FBE">
        <w:t>)</w:t>
      </w:r>
    </w:p>
    <w:p w14:paraId="2E9A2EE3" w14:textId="7F13DC8B" w:rsidR="00087169" w:rsidRPr="005D5932" w:rsidRDefault="00E739B0" w:rsidP="00744FB2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Her beskrives nævneren i </w:t>
      </w:r>
      <w:r w:rsidR="00044AA0">
        <w:rPr>
          <w:rFonts w:ascii="Arial" w:hAnsi="Arial" w:cs="Arial"/>
        </w:rPr>
        <w:fldChar w:fldCharType="begin"/>
      </w:r>
      <w:r w:rsidR="00044AA0">
        <w:rPr>
          <w:rFonts w:ascii="Arial" w:hAnsi="Arial" w:cs="Arial"/>
        </w:rPr>
        <w:instrText xml:space="preserve"> REF _Ref157778823 \h </w:instrText>
      </w:r>
      <w:r w:rsidR="00044AA0">
        <w:rPr>
          <w:rFonts w:ascii="Arial" w:hAnsi="Arial" w:cs="Arial"/>
        </w:rPr>
      </w:r>
      <w:r w:rsidR="00044AA0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044AA0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. </w:t>
      </w:r>
    </w:p>
    <w:p w14:paraId="68491699" w14:textId="77777777" w:rsidR="00087169" w:rsidRPr="005D5932" w:rsidRDefault="00087169" w:rsidP="00744FB2">
      <w:pPr>
        <w:rPr>
          <w:rFonts w:ascii="Arial" w:hAnsi="Arial" w:cs="Arial"/>
        </w:rPr>
      </w:pPr>
    </w:p>
    <w:p w14:paraId="3E17461D" w14:textId="3C094602" w:rsidR="00A611C6" w:rsidRPr="005D5932" w:rsidRDefault="007F0E5A" w:rsidP="00744FB2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Den primære affaldsmængde indsamlet til genanvendelse</w:t>
      </w:r>
      <w:r w:rsidR="00DA657A" w:rsidRPr="005D5932">
        <w:rPr>
          <w:rFonts w:ascii="Arial" w:hAnsi="Arial" w:cs="Arial"/>
        </w:rPr>
        <w:t xml:space="preserve"> </w:t>
      </w:r>
      <w:r w:rsidR="009A75F7" w:rsidRPr="005D5932">
        <w:rPr>
          <w:rFonts w:ascii="Arial" w:hAnsi="Arial" w:cs="Arial"/>
        </w:rPr>
        <w:t xml:space="preserve">er </w:t>
      </w:r>
      <w:r w:rsidR="00DA657A" w:rsidRPr="005D5932">
        <w:rPr>
          <w:rFonts w:ascii="Arial" w:hAnsi="Arial" w:cs="Arial"/>
        </w:rPr>
        <w:t xml:space="preserve">baseret på </w:t>
      </w:r>
      <w:r w:rsidR="00DA657A" w:rsidRPr="005D5932">
        <w:rPr>
          <w:rFonts w:ascii="Arial" w:hAnsi="Arial" w:cs="Arial"/>
          <w:i/>
        </w:rPr>
        <w:t>EAK</w:t>
      </w:r>
      <w:r w:rsidR="00E739B0" w:rsidRPr="005D5932">
        <w:rPr>
          <w:rFonts w:ascii="Arial" w:hAnsi="Arial" w:cs="Arial"/>
        </w:rPr>
        <w:t>-</w:t>
      </w:r>
      <w:r w:rsidR="00DA657A" w:rsidRPr="005D5932">
        <w:rPr>
          <w:rFonts w:ascii="Arial" w:hAnsi="Arial" w:cs="Arial"/>
        </w:rPr>
        <w:t>koderne</w:t>
      </w:r>
      <w:r w:rsidR="00435271" w:rsidRPr="005D5932">
        <w:rPr>
          <w:rFonts w:ascii="Arial" w:hAnsi="Arial" w:cs="Arial"/>
        </w:rPr>
        <w:t>, som MW er defineret ud fra</w:t>
      </w:r>
      <w:r w:rsidR="00DA657A" w:rsidRPr="005D5932">
        <w:rPr>
          <w:rFonts w:ascii="Arial" w:hAnsi="Arial" w:cs="Arial"/>
        </w:rPr>
        <w:t xml:space="preserve">. </w:t>
      </w:r>
      <w:r w:rsidR="009A1940" w:rsidRPr="005D5932">
        <w:rPr>
          <w:rFonts w:ascii="Arial" w:hAnsi="Arial" w:cs="Arial"/>
        </w:rPr>
        <w:t xml:space="preserve">Disse mængder registreres direkte i ADS. </w:t>
      </w:r>
    </w:p>
    <w:p w14:paraId="0312EF7F" w14:textId="42FC9E03" w:rsidR="00A611C6" w:rsidRPr="005D5932" w:rsidRDefault="00A611C6" w:rsidP="006D6AFC">
      <w:pPr>
        <w:pStyle w:val="Overskrift2"/>
        <w:rPr>
          <w:rFonts w:cs="Arial"/>
        </w:rPr>
      </w:pPr>
      <w:r w:rsidRPr="005D5932">
        <w:rPr>
          <w:rFonts w:cs="Arial"/>
        </w:rPr>
        <w:t>De samlede resultater</w:t>
      </w:r>
    </w:p>
    <w:p w14:paraId="76866985" w14:textId="74CFC7F6" w:rsidR="007616A9" w:rsidRPr="005D5932" w:rsidRDefault="00DA657A" w:rsidP="00815409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I den nedenstående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_Ref155604989 \h </w:instrText>
      </w:r>
      <w:r w:rsidR="005D5932">
        <w:rPr>
          <w:rFonts w:ascii="Arial" w:hAnsi="Arial" w:cs="Arial"/>
        </w:rPr>
        <w:instrText xml:space="preserve">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0663CC">
        <w:rPr>
          <w:rFonts w:ascii="Arial" w:hAnsi="Arial" w:cs="Arial"/>
        </w:rPr>
        <w:t xml:space="preserve">Tabel </w:t>
      </w:r>
      <w:r w:rsidR="00EE4DEB">
        <w:rPr>
          <w:rFonts w:ascii="Arial" w:hAnsi="Arial" w:cs="Arial"/>
          <w:noProof/>
        </w:rPr>
        <w:t>1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ses den totale mængde MW, mængden af MW indsamlet til genanvendelse, slutbehandlingsraterne samt de resulterede reelle mængder</w:t>
      </w:r>
      <w:r w:rsidR="009A1940" w:rsidRPr="005D5932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der er blevet genanvendt. </w:t>
      </w:r>
      <w:r w:rsidR="00517D9F" w:rsidRPr="005D5932">
        <w:rPr>
          <w:rFonts w:ascii="Arial" w:hAnsi="Arial" w:cs="Arial"/>
        </w:rPr>
        <w:t xml:space="preserve">Resultaterne er opgjort per MW-fraktion (se bilag 7 i Affaldsstatistikken). </w:t>
      </w:r>
      <w:r w:rsidRPr="005D5932">
        <w:rPr>
          <w:rFonts w:ascii="Arial" w:hAnsi="Arial" w:cs="Arial"/>
        </w:rPr>
        <w:t xml:space="preserve">Nederst i tabellen er mængden summeret over fraktionerne og til sidst beregnet i procent. </w:t>
      </w:r>
    </w:p>
    <w:p w14:paraId="2441A481" w14:textId="73582AA6" w:rsidR="00815409" w:rsidRDefault="00815409" w:rsidP="0070547E">
      <w:pPr>
        <w:rPr>
          <w:color w:val="FF0000"/>
        </w:rPr>
      </w:pPr>
    </w:p>
    <w:p w14:paraId="4DC158B1" w14:textId="69FD3AB0" w:rsidR="00815409" w:rsidRPr="000663CC" w:rsidRDefault="00815409" w:rsidP="00815409">
      <w:pPr>
        <w:pStyle w:val="Billedtekst"/>
        <w:keepNext/>
        <w:rPr>
          <w:rFonts w:ascii="Arial" w:hAnsi="Arial" w:cs="Arial"/>
        </w:rPr>
      </w:pPr>
      <w:bookmarkStart w:id="4" w:name="_Ref155604989"/>
      <w:r w:rsidRPr="000663CC">
        <w:rPr>
          <w:rFonts w:ascii="Arial" w:hAnsi="Arial" w:cs="Arial"/>
        </w:rPr>
        <w:lastRenderedPageBreak/>
        <w:t xml:space="preserve">Tabel </w:t>
      </w:r>
      <w:r w:rsidR="00EC7C45" w:rsidRPr="000663CC">
        <w:rPr>
          <w:rFonts w:ascii="Arial" w:hAnsi="Arial" w:cs="Arial"/>
        </w:rPr>
        <w:fldChar w:fldCharType="begin"/>
      </w:r>
      <w:r w:rsidR="00EC7C45" w:rsidRPr="000663CC">
        <w:rPr>
          <w:rFonts w:ascii="Arial" w:hAnsi="Arial" w:cs="Arial"/>
        </w:rPr>
        <w:instrText xml:space="preserve"> SEQ Tabel \* ARABIC </w:instrText>
      </w:r>
      <w:r w:rsidR="00EC7C45" w:rsidRPr="000663CC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1</w:t>
      </w:r>
      <w:r w:rsidR="00EC7C45" w:rsidRPr="000663CC">
        <w:rPr>
          <w:rFonts w:ascii="Arial" w:hAnsi="Arial" w:cs="Arial"/>
          <w:noProof/>
        </w:rPr>
        <w:fldChar w:fldCharType="end"/>
      </w:r>
      <w:bookmarkEnd w:id="4"/>
      <w:r w:rsidR="00C56CAE" w:rsidRPr="000663CC">
        <w:rPr>
          <w:rFonts w:ascii="Arial" w:hAnsi="Arial" w:cs="Arial"/>
          <w:noProof/>
        </w:rPr>
        <w:t>.</w:t>
      </w:r>
      <w:r w:rsidRPr="000663CC">
        <w:rPr>
          <w:rFonts w:ascii="Arial" w:hAnsi="Arial" w:cs="Arial"/>
        </w:rPr>
        <w:t xml:space="preserve"> </w:t>
      </w:r>
      <w:r w:rsidR="007F0E5A" w:rsidRPr="000663CC">
        <w:rPr>
          <w:rFonts w:ascii="Arial" w:hAnsi="Arial" w:cs="Arial"/>
          <w:b w:val="0"/>
        </w:rPr>
        <w:t>Reel genanvendelse af MW på nationalt plan</w:t>
      </w:r>
      <w:r w:rsidR="004E3643" w:rsidRPr="000663CC">
        <w:rPr>
          <w:rFonts w:ascii="Arial" w:hAnsi="Arial" w:cs="Arial"/>
          <w:b w:val="0"/>
        </w:rPr>
        <w:t xml:space="preserve">. </w:t>
      </w:r>
    </w:p>
    <w:tbl>
      <w:tblPr>
        <w:tblW w:w="93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625"/>
        <w:gridCol w:w="1417"/>
        <w:gridCol w:w="1438"/>
        <w:gridCol w:w="1688"/>
      </w:tblGrid>
      <w:tr w:rsidR="000C771C" w:rsidRPr="00815409" w14:paraId="5C25DB9C" w14:textId="77777777" w:rsidTr="000C771C">
        <w:trPr>
          <w:trHeight w:val="692"/>
        </w:trPr>
        <w:tc>
          <w:tcPr>
            <w:tcW w:w="3231" w:type="dxa"/>
            <w:tcBorders>
              <w:top w:val="single" w:sz="4" w:space="0" w:color="BFE1D2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00874B"/>
            <w:noWrap/>
            <w:hideMark/>
          </w:tcPr>
          <w:p w14:paraId="265D6553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 waste fraktioner</w:t>
            </w:r>
          </w:p>
        </w:tc>
        <w:tc>
          <w:tcPr>
            <w:tcW w:w="1625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217F9B0F" w14:textId="5B108E2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 waste totalt</w:t>
            </w:r>
            <w:r w:rsidR="002B2A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genereret</w:t>
            </w:r>
          </w:p>
        </w:tc>
        <w:tc>
          <w:tcPr>
            <w:tcW w:w="1417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4F9324C5" w14:textId="163FBA73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 waste indsamlet  til genanvendelse</w:t>
            </w:r>
            <w:r w:rsidR="0098313D"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(ordninger)</w:t>
            </w: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00874B"/>
            <w:hideMark/>
          </w:tcPr>
          <w:p w14:paraId="786EFF78" w14:textId="24A1A210" w:rsidR="00DA657A" w:rsidRPr="00C227CE" w:rsidRDefault="00DA657A" w:rsidP="006215F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Slutbehandlings-rater, 202</w:t>
            </w:r>
            <w:r w:rsidR="006215F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single" w:sz="4" w:space="0" w:color="BFE1D2"/>
              <w:left w:val="nil"/>
              <w:bottom w:val="nil"/>
              <w:right w:val="single" w:sz="4" w:space="0" w:color="BFE1D2"/>
            </w:tcBorders>
            <w:shd w:val="clear" w:color="000000" w:fill="BFE1D2"/>
            <w:hideMark/>
          </w:tcPr>
          <w:p w14:paraId="4EC4C48D" w14:textId="04681A93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 waste, reel genanvendelse</w:t>
            </w:r>
            <w:r w:rsidR="0098313D"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(materialefraktioner)</w:t>
            </w: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771C" w:rsidRPr="00815409" w14:paraId="2A85E08D" w14:textId="77777777" w:rsidTr="000C771C">
        <w:trPr>
          <w:trHeight w:val="288"/>
        </w:trPr>
        <w:tc>
          <w:tcPr>
            <w:tcW w:w="3231" w:type="dxa"/>
            <w:tcBorders>
              <w:top w:val="nil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00874B"/>
            <w:noWrap/>
            <w:hideMark/>
          </w:tcPr>
          <w:p w14:paraId="3366E1F0" w14:textId="77777777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Enhed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69B65415" w14:textId="77777777" w:rsidR="00DA657A" w:rsidRPr="00C227CE" w:rsidRDefault="00DA657A" w:rsidP="00175CF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(ton)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5BC3EAC8" w14:textId="77777777" w:rsidR="00DA657A" w:rsidRPr="00C227CE" w:rsidRDefault="00DA657A" w:rsidP="00DB276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(ton)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874B"/>
            <w:hideMark/>
          </w:tcPr>
          <w:p w14:paraId="6D8DA9E7" w14:textId="77777777" w:rsidR="00DA657A" w:rsidRPr="00C227CE" w:rsidRDefault="00DA657A" w:rsidP="00614F49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BFE1D2"/>
            </w:tcBorders>
            <w:shd w:val="clear" w:color="000000" w:fill="BFE1D2"/>
            <w:hideMark/>
          </w:tcPr>
          <w:p w14:paraId="393EA292" w14:textId="77777777" w:rsidR="00DA657A" w:rsidRPr="00C227CE" w:rsidRDefault="00DA657A" w:rsidP="009F1EB5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(ton)</w:t>
            </w:r>
          </w:p>
        </w:tc>
      </w:tr>
      <w:tr w:rsidR="000C771C" w:rsidRPr="00815409" w14:paraId="562FD00D" w14:textId="77777777" w:rsidTr="000C771C">
        <w:trPr>
          <w:trHeight w:val="444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30BD58E6" w14:textId="77777777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ADS koder benyttet til datagrundlag</w:t>
            </w:r>
          </w:p>
          <w:p w14:paraId="6D0456B7" w14:textId="69B06FC9" w:rsidR="002523DE" w:rsidRPr="00C227CE" w:rsidRDefault="002523DE" w:rsidP="00175C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5379E6BD" w14:textId="77777777" w:rsidR="00DA657A" w:rsidRPr="00C227CE" w:rsidRDefault="00DA657A" w:rsidP="00DB276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(EAK-koder)</w:t>
            </w:r>
          </w:p>
          <w:p w14:paraId="6A76DEC7" w14:textId="21B5B8A9" w:rsidR="002523DE" w:rsidRPr="00C227CE" w:rsidRDefault="002523DE" w:rsidP="00614F49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754FC235" w14:textId="77777777" w:rsidR="00DA657A" w:rsidRPr="00C227CE" w:rsidRDefault="00DA657A" w:rsidP="009F1EB5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(EAK-koder)</w:t>
            </w:r>
          </w:p>
          <w:p w14:paraId="0AF8DA52" w14:textId="3CC53A06" w:rsidR="002523DE" w:rsidRPr="00C227CE" w:rsidRDefault="002523DE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08DDE51F" w14:textId="77777777" w:rsidR="00DA657A" w:rsidRPr="00C227CE" w:rsidRDefault="00DA657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(H/E-koder)</w:t>
            </w:r>
          </w:p>
          <w:p w14:paraId="416DC96A" w14:textId="4B4DF5DC" w:rsidR="002523DE" w:rsidRPr="00C227CE" w:rsidRDefault="002523DE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E1D2"/>
              <w:right w:val="single" w:sz="4" w:space="0" w:color="BFE1D2"/>
            </w:tcBorders>
            <w:shd w:val="clear" w:color="000000" w:fill="BFE1D2"/>
            <w:vAlign w:val="center"/>
            <w:hideMark/>
          </w:tcPr>
          <w:p w14:paraId="1E20ECF4" w14:textId="41000A3B" w:rsidR="00DA657A" w:rsidRPr="00C227CE" w:rsidRDefault="00DA657A" w:rsidP="00E708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(Kombination af EAK</w:t>
            </w:r>
            <w:r w:rsidR="00E708C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og H/E</w:t>
            </w:r>
            <w:r w:rsidR="00E708C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koder)</w:t>
            </w:r>
          </w:p>
        </w:tc>
      </w:tr>
      <w:tr w:rsidR="000C771C" w:rsidRPr="00815409" w14:paraId="35AB0D3F" w14:textId="77777777" w:rsidTr="006215F1">
        <w:trPr>
          <w:trHeight w:val="456"/>
        </w:trPr>
        <w:tc>
          <w:tcPr>
            <w:tcW w:w="3231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34D7225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Blandet husholdning og service affald (restaffaldet)</w:t>
            </w:r>
          </w:p>
        </w:tc>
        <w:tc>
          <w:tcPr>
            <w:tcW w:w="1625" w:type="dxa"/>
            <w:tcBorders>
              <w:top w:val="single" w:sz="4" w:space="0" w:color="BFE1D2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798FAA72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75387AD" w14:textId="354A80A0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19.839</w:t>
            </w:r>
          </w:p>
        </w:tc>
        <w:tc>
          <w:tcPr>
            <w:tcW w:w="1438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7A11469" w14:textId="04642E31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688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4603338" w14:textId="39E6FCAC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C771C" w:rsidRPr="00815409" w14:paraId="037CABA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E27F975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Storskrald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541720F7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2228239" w14:textId="140C1F24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38.048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B61D241" w14:textId="181E3D27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0E8A415" w14:textId="0E941483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</w:tr>
      <w:tr w:rsidR="000C771C" w:rsidRPr="00815409" w14:paraId="4D420D0D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60D228B7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Bionedbrydeligt affald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7B9EA3CE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DC200A9" w14:textId="245E8841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767.449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A80F444" w14:textId="7ACAA0A2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9F6037D" w14:textId="4B81C517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682.265</w:t>
            </w:r>
          </w:p>
        </w:tc>
      </w:tr>
      <w:tr w:rsidR="000C771C" w:rsidRPr="00815409" w14:paraId="4E6A0514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9FB8628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Bionedbrydeligt køkken- og kantineaffald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368F0A36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2F712FA" w14:textId="3F4CD07A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336.745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60BF2D3" w14:textId="05659238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8F62A7A" w14:textId="35B18B1A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362.479</w:t>
            </w:r>
          </w:p>
        </w:tc>
      </w:tr>
      <w:tr w:rsidR="000C771C" w:rsidRPr="00815409" w14:paraId="223FF1C3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5451AA7A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Papir og pap samt papir- og pap 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D0E1C86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93E7267" w14:textId="04DFE599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554.458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5C1DBEA" w14:textId="5480AECA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F4401E0" w14:textId="733437AF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410.351</w:t>
            </w:r>
          </w:p>
        </w:tc>
      </w:tr>
      <w:tr w:rsidR="000C771C" w:rsidRPr="00815409" w14:paraId="3B99965F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A2A8D06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Metaller og metalemballage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F8463B8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EE27D63" w14:textId="55EB0E6D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118.874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CB67D32" w14:textId="6CF04FB3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174% 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E0F60AE" w14:textId="28A4AB9E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206.555</w:t>
            </w:r>
          </w:p>
        </w:tc>
      </w:tr>
      <w:tr w:rsidR="000C771C" w:rsidRPr="00815409" w14:paraId="4ABFA65A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E2A9075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Glas og glasemballage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FA1F739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A1FCD31" w14:textId="5224C553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153.827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A69538A" w14:textId="266D25B1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BF05D4E" w14:textId="2EEA40A1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137.843</w:t>
            </w:r>
          </w:p>
        </w:tc>
      </w:tr>
      <w:tr w:rsidR="000C771C" w:rsidRPr="00815409" w14:paraId="5372C3B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355DB039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Plast og plastemballage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0F36863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650B4BE" w14:textId="0BBCA181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117.147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E43661B" w14:textId="7E6EF7AB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1D3553A" w14:textId="1DE5272B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82.783</w:t>
            </w:r>
          </w:p>
        </w:tc>
      </w:tr>
      <w:tr w:rsidR="000C771C" w:rsidRPr="00815409" w14:paraId="0CD0DFA1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4CB68EB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Blandet 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1BA97803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50456B8" w14:textId="311705D2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44.650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341DF28" w14:textId="389EA8A5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135DC77" w14:textId="1C635011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35.409</w:t>
            </w:r>
          </w:p>
        </w:tc>
      </w:tr>
      <w:tr w:rsidR="000C771C" w:rsidRPr="00815409" w14:paraId="61975120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441FE2A7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Træ og træemballage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3CBA36C0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1E62114" w14:textId="11E01624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177.894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0EC663A" w14:textId="6538CD58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DB1281B" w14:textId="7A2A8C33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222.205</w:t>
            </w:r>
          </w:p>
        </w:tc>
      </w:tr>
      <w:tr w:rsidR="000C771C" w:rsidRPr="00815409" w14:paraId="6ABF1E5E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5102C78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Kasseret elektronisk udstyr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404F6F5E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14B21B5" w14:textId="4A81EB82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72.249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7054530" w14:textId="2AA05EB6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A49E1AB" w14:textId="5232CB29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34.309</w:t>
            </w:r>
          </w:p>
        </w:tc>
      </w:tr>
      <w:tr w:rsidR="000C771C" w:rsidRPr="00815409" w14:paraId="1F36C188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40FCE4AC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Batterier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D006C17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1D515E4" w14:textId="7A74F8D3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3.770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D3C94D8" w14:textId="0F667615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9CCDE54" w14:textId="1A84C4C3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</w:t>
            </w:r>
          </w:p>
        </w:tc>
      </w:tr>
      <w:tr w:rsidR="000C771C" w:rsidRPr="00815409" w14:paraId="53B08FF6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12AB4CC9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Olie og fedt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286F1012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F7EEEA5" w14:textId="47E08409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4.855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DA414F9" w14:textId="604D5368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A6617D0" w14:textId="3AEEB7AF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5.659</w:t>
            </w:r>
          </w:p>
        </w:tc>
      </w:tr>
      <w:tr w:rsidR="000C771C" w:rsidRPr="00815409" w14:paraId="33CD0D2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378FB752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Tøj og tekstiler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EF7B45A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14C1091" w14:textId="1200232D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6.046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C93559D" w14:textId="75D2031A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2135202" w14:textId="7A0CD851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3.430</w:t>
            </w:r>
          </w:p>
        </w:tc>
      </w:tr>
      <w:tr w:rsidR="000C771C" w:rsidRPr="00815409" w14:paraId="5D3081FD" w14:textId="77777777" w:rsidTr="006215F1">
        <w:trPr>
          <w:trHeight w:val="444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5C7EB5EF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Lægemidler, opløsningsmidler, kemikalier og maling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DA2AE1B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1CBD84C" w14:textId="1467065A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1.932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CF63A4B" w14:textId="6C1C520F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1185168" w14:textId="423E172F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</w:tr>
      <w:tr w:rsidR="000C771C" w:rsidRPr="00815409" w14:paraId="078BEB18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28F7AB77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Andet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1A84A9FE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8482687" w14:textId="17C9830F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47.435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6A5DAAB" w14:textId="4F02C241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045B747" w14:textId="3B2FA66F" w:rsidR="00DA657A" w:rsidRPr="00C227CE" w:rsidRDefault="004A0046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16.468</w:t>
            </w:r>
          </w:p>
        </w:tc>
      </w:tr>
      <w:tr w:rsidR="000C771C" w:rsidRPr="00815409" w14:paraId="78ACB033" w14:textId="77777777" w:rsidTr="00E746C5">
        <w:trPr>
          <w:trHeight w:val="20"/>
        </w:trPr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FFFFFF"/>
            <w:vAlign w:val="bottom"/>
            <w:hideMark/>
          </w:tcPr>
          <w:p w14:paraId="1DC6BD7B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FCE74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B595B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1E872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07AC4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771C" w:rsidRPr="00815409" w14:paraId="62902B0D" w14:textId="77777777" w:rsidTr="000C771C">
        <w:trPr>
          <w:trHeight w:val="312"/>
        </w:trPr>
        <w:tc>
          <w:tcPr>
            <w:tcW w:w="3231" w:type="dxa"/>
            <w:tcBorders>
              <w:top w:val="single" w:sz="4" w:space="0" w:color="BFE1D2" w:themeColor="text2"/>
              <w:left w:val="single" w:sz="4" w:space="0" w:color="BFE1D2"/>
              <w:bottom w:val="single" w:sz="4" w:space="0" w:color="FFFFFF" w:themeColor="background1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13F0860C" w14:textId="4D57B378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Total (ton)</w:t>
            </w:r>
          </w:p>
        </w:tc>
        <w:tc>
          <w:tcPr>
            <w:tcW w:w="1625" w:type="dxa"/>
            <w:tcBorders>
              <w:top w:val="single" w:sz="4" w:space="0" w:color="BFE1D2" w:themeColor="text2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4C263000" w14:textId="47C16039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4.442.379</w:t>
            </w:r>
          </w:p>
        </w:tc>
        <w:tc>
          <w:tcPr>
            <w:tcW w:w="1417" w:type="dxa"/>
            <w:tcBorders>
              <w:top w:val="single" w:sz="4" w:space="0" w:color="BFE1D2" w:themeColor="text2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2ABE97D5" w14:textId="342DD754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2.465.217</w:t>
            </w:r>
          </w:p>
        </w:tc>
        <w:tc>
          <w:tcPr>
            <w:tcW w:w="1438" w:type="dxa"/>
            <w:tcBorders>
              <w:top w:val="single" w:sz="4" w:space="0" w:color="BFE1D2" w:themeColor="text2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73C8D2A7" w14:textId="77777777" w:rsidR="00DA657A" w:rsidRPr="00C227CE" w:rsidRDefault="00DA657A" w:rsidP="00815409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688" w:type="dxa"/>
            <w:tcBorders>
              <w:top w:val="single" w:sz="4" w:space="0" w:color="BFE1D2" w:themeColor="text2"/>
              <w:left w:val="nil"/>
              <w:bottom w:val="single" w:sz="4" w:space="0" w:color="FFFFFF" w:themeColor="background1"/>
              <w:right w:val="single" w:sz="4" w:space="0" w:color="BFE1D2"/>
            </w:tcBorders>
            <w:shd w:val="clear" w:color="000000" w:fill="BFE1D2"/>
            <w:vAlign w:val="center"/>
            <w:hideMark/>
          </w:tcPr>
          <w:p w14:paraId="7257DDB2" w14:textId="13C6CB82" w:rsidR="00DA657A" w:rsidRPr="00C227CE" w:rsidRDefault="006215F1" w:rsidP="0081540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2.201.959</w:t>
            </w:r>
          </w:p>
        </w:tc>
      </w:tr>
      <w:tr w:rsidR="000C771C" w:rsidRPr="00815409" w14:paraId="2C8BD37E" w14:textId="77777777" w:rsidTr="00E746C5">
        <w:trPr>
          <w:trHeight w:val="288"/>
        </w:trPr>
        <w:tc>
          <w:tcPr>
            <w:tcW w:w="3231" w:type="dxa"/>
            <w:tcBorders>
              <w:top w:val="single" w:sz="4" w:space="0" w:color="FFFFFF" w:themeColor="background1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4FD07EAB" w14:textId="77777777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Procent</w:t>
            </w:r>
          </w:p>
        </w:tc>
        <w:tc>
          <w:tcPr>
            <w:tcW w:w="1625" w:type="dxa"/>
            <w:tcBorders>
              <w:top w:val="single" w:sz="4" w:space="0" w:color="FFFFFF" w:themeColor="background1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4875CB0E" w14:textId="77777777" w:rsidR="00DA657A" w:rsidRPr="00C227CE" w:rsidRDefault="00DA657A" w:rsidP="00E746C5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1A09EE76" w14:textId="1F10642D" w:rsidR="00DA657A" w:rsidRPr="00C227CE" w:rsidRDefault="006215F1" w:rsidP="00E746C5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56</w:t>
            </w:r>
            <w:r w:rsidR="00DA657A"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438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02BF3A54" w14:textId="4BF01B32" w:rsidR="00DA657A" w:rsidRPr="00C227CE" w:rsidRDefault="006215F1" w:rsidP="00E746C5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89</w:t>
            </w:r>
            <w:r w:rsidR="00DA657A"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BFE1D2"/>
              <w:right w:val="single" w:sz="4" w:space="0" w:color="BFE1D2"/>
            </w:tcBorders>
            <w:shd w:val="clear" w:color="000000" w:fill="BFE1D2"/>
            <w:vAlign w:val="center"/>
            <w:hideMark/>
          </w:tcPr>
          <w:p w14:paraId="4F7F98D6" w14:textId="7505246D" w:rsidR="00DA657A" w:rsidRPr="00C227CE" w:rsidRDefault="006215F1" w:rsidP="00E746C5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50</w:t>
            </w:r>
            <w:r w:rsidR="00DA657A"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%</w:t>
            </w:r>
          </w:p>
        </w:tc>
      </w:tr>
    </w:tbl>
    <w:p w14:paraId="47C0E2D4" w14:textId="0E844758" w:rsidR="00815409" w:rsidRDefault="00815409" w:rsidP="0070547E">
      <w:pPr>
        <w:rPr>
          <w:color w:val="FF0000"/>
        </w:rPr>
      </w:pPr>
    </w:p>
    <w:p w14:paraId="03B1B3D8" w14:textId="1C8E99D4" w:rsidR="00DA657A" w:rsidRPr="008B1BF0" w:rsidRDefault="001D76E8" w:rsidP="0070547E">
      <w:pPr>
        <w:rPr>
          <w:rFonts w:ascii="Arial" w:hAnsi="Arial" w:cs="Arial"/>
        </w:rPr>
      </w:pPr>
      <w:r w:rsidRPr="008B1BF0">
        <w:rPr>
          <w:rFonts w:ascii="Arial" w:hAnsi="Arial" w:cs="Arial"/>
        </w:rPr>
        <w:t>Det ses</w:t>
      </w:r>
      <w:r w:rsidR="0050634D" w:rsidRPr="008B1BF0">
        <w:rPr>
          <w:rFonts w:ascii="Arial" w:hAnsi="Arial" w:cs="Arial"/>
        </w:rPr>
        <w:t>,</w:t>
      </w:r>
      <w:r w:rsidR="00DA657A" w:rsidRPr="008B1BF0">
        <w:rPr>
          <w:rFonts w:ascii="Arial" w:hAnsi="Arial" w:cs="Arial"/>
        </w:rPr>
        <w:t xml:space="preserve"> at den </w:t>
      </w:r>
      <w:r w:rsidR="001766AD">
        <w:rPr>
          <w:rFonts w:ascii="Arial" w:hAnsi="Arial" w:cs="Arial"/>
        </w:rPr>
        <w:t xml:space="preserve">totale </w:t>
      </w:r>
      <w:r w:rsidR="00200ACE">
        <w:rPr>
          <w:rFonts w:ascii="Arial" w:hAnsi="Arial" w:cs="Arial"/>
        </w:rPr>
        <w:t>MW mængde er 4,44</w:t>
      </w:r>
      <w:r w:rsidR="00DA657A" w:rsidRPr="008B1BF0">
        <w:rPr>
          <w:rFonts w:ascii="Arial" w:hAnsi="Arial" w:cs="Arial"/>
        </w:rPr>
        <w:t xml:space="preserve"> mio. ton</w:t>
      </w:r>
      <w:r w:rsidR="000C1569" w:rsidRPr="008B1BF0">
        <w:rPr>
          <w:rFonts w:ascii="Arial" w:hAnsi="Arial" w:cs="Arial"/>
        </w:rPr>
        <w:t>. H</w:t>
      </w:r>
      <w:r w:rsidR="00200ACE">
        <w:rPr>
          <w:rFonts w:ascii="Arial" w:hAnsi="Arial" w:cs="Arial"/>
        </w:rPr>
        <w:t>eraf er 56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 xml:space="preserve">% </w:t>
      </w:r>
      <w:r w:rsidR="0050634D" w:rsidRPr="008B1BF0">
        <w:rPr>
          <w:rFonts w:ascii="Arial" w:hAnsi="Arial" w:cs="Arial"/>
        </w:rPr>
        <w:t>(</w:t>
      </w:r>
      <w:r w:rsidR="00200ACE">
        <w:rPr>
          <w:rFonts w:ascii="Arial" w:hAnsi="Arial" w:cs="Arial"/>
        </w:rPr>
        <w:t>dvs. 2,47</w:t>
      </w:r>
      <w:r w:rsidR="00DA657A" w:rsidRPr="008B1BF0">
        <w:rPr>
          <w:rFonts w:ascii="Arial" w:hAnsi="Arial" w:cs="Arial"/>
        </w:rPr>
        <w:t xml:space="preserve"> mio. </w:t>
      </w:r>
      <w:r w:rsidR="002123AC" w:rsidRPr="008B1BF0">
        <w:rPr>
          <w:rFonts w:ascii="Arial" w:hAnsi="Arial" w:cs="Arial"/>
        </w:rPr>
        <w:t>ton</w:t>
      </w:r>
      <w:r w:rsidR="0050634D" w:rsidRPr="008B1BF0">
        <w:rPr>
          <w:rFonts w:ascii="Arial" w:hAnsi="Arial" w:cs="Arial"/>
        </w:rPr>
        <w:t>)</w:t>
      </w:r>
      <w:r w:rsidR="00DA657A" w:rsidRPr="008B1BF0">
        <w:rPr>
          <w:rFonts w:ascii="Arial" w:hAnsi="Arial" w:cs="Arial"/>
        </w:rPr>
        <w:t xml:space="preserve"> indsamlet til genanvendelse. Andelen af mængden indsamlet til genanvendelse</w:t>
      </w:r>
      <w:r w:rsidR="0050634D" w:rsidRPr="008B1BF0">
        <w:rPr>
          <w:rFonts w:ascii="Arial" w:hAnsi="Arial" w:cs="Arial"/>
        </w:rPr>
        <w:t>,</w:t>
      </w:r>
      <w:r w:rsidR="00DA657A" w:rsidRPr="008B1BF0">
        <w:rPr>
          <w:rFonts w:ascii="Arial" w:hAnsi="Arial" w:cs="Arial"/>
        </w:rPr>
        <w:t xml:space="preserve"> der </w:t>
      </w:r>
      <w:r w:rsidR="0050634D" w:rsidRPr="008B1BF0">
        <w:rPr>
          <w:rFonts w:ascii="Arial" w:hAnsi="Arial" w:cs="Arial"/>
        </w:rPr>
        <w:t xml:space="preserve">slutbehandles </w:t>
      </w:r>
      <w:r w:rsidR="00C6033D" w:rsidRPr="008B1BF0">
        <w:rPr>
          <w:rFonts w:ascii="Arial" w:hAnsi="Arial" w:cs="Arial"/>
        </w:rPr>
        <w:t xml:space="preserve">som </w:t>
      </w:r>
      <w:r w:rsidR="0050634D" w:rsidRPr="008B1BF0">
        <w:rPr>
          <w:rFonts w:ascii="Arial" w:hAnsi="Arial" w:cs="Arial"/>
        </w:rPr>
        <w:t xml:space="preserve">genanvendelse </w:t>
      </w:r>
      <w:r w:rsidR="00DA657A" w:rsidRPr="008B1BF0">
        <w:rPr>
          <w:rFonts w:ascii="Arial" w:hAnsi="Arial" w:cs="Arial"/>
        </w:rPr>
        <w:t>er 8</w:t>
      </w:r>
      <w:r w:rsidR="00200ACE">
        <w:rPr>
          <w:rFonts w:ascii="Arial" w:hAnsi="Arial" w:cs="Arial"/>
        </w:rPr>
        <w:t>9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 xml:space="preserve">%, hvorfor der </w:t>
      </w:r>
      <w:r w:rsidR="001766AD">
        <w:rPr>
          <w:rFonts w:ascii="Arial" w:hAnsi="Arial" w:cs="Arial"/>
        </w:rPr>
        <w:t>totalt</w:t>
      </w:r>
      <w:r w:rsidR="00200ACE">
        <w:rPr>
          <w:rFonts w:ascii="Arial" w:hAnsi="Arial" w:cs="Arial"/>
        </w:rPr>
        <w:t xml:space="preserve"> reelt genanvendes 2,20</w:t>
      </w:r>
      <w:r w:rsidR="00DA657A" w:rsidRPr="008B1BF0">
        <w:rPr>
          <w:rFonts w:ascii="Arial" w:hAnsi="Arial" w:cs="Arial"/>
        </w:rPr>
        <w:t xml:space="preserve"> mio. </w:t>
      </w:r>
      <w:r w:rsidR="002123AC" w:rsidRPr="008B1BF0">
        <w:rPr>
          <w:rFonts w:ascii="Arial" w:hAnsi="Arial" w:cs="Arial"/>
        </w:rPr>
        <w:t>ton</w:t>
      </w:r>
      <w:r w:rsidR="00200ACE">
        <w:rPr>
          <w:rFonts w:ascii="Arial" w:hAnsi="Arial" w:cs="Arial"/>
        </w:rPr>
        <w:t xml:space="preserve"> affald eller 50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>% af hele</w:t>
      </w:r>
      <w:r w:rsidR="00180AD0" w:rsidRPr="008B1BF0">
        <w:rPr>
          <w:rFonts w:ascii="Arial" w:hAnsi="Arial" w:cs="Arial"/>
        </w:rPr>
        <w:t xml:space="preserve"> MW</w:t>
      </w:r>
      <w:r w:rsidR="00DA657A" w:rsidRPr="008B1BF0">
        <w:rPr>
          <w:rFonts w:ascii="Arial" w:hAnsi="Arial" w:cs="Arial"/>
        </w:rPr>
        <w:t xml:space="preserve"> affaldsmængden.</w:t>
      </w:r>
    </w:p>
    <w:p w14:paraId="736747C9" w14:textId="51800D35" w:rsidR="00DA657A" w:rsidRPr="008B1BF0" w:rsidRDefault="00DA657A" w:rsidP="0070547E">
      <w:pPr>
        <w:rPr>
          <w:rFonts w:ascii="Arial" w:hAnsi="Arial" w:cs="Arial"/>
        </w:rPr>
      </w:pPr>
    </w:p>
    <w:p w14:paraId="32FD4517" w14:textId="682DDCC7" w:rsidR="006B7C55" w:rsidRPr="008B1BF0" w:rsidRDefault="00DA657A" w:rsidP="0070547E">
      <w:pPr>
        <w:rPr>
          <w:rFonts w:ascii="Arial" w:hAnsi="Arial" w:cs="Arial"/>
        </w:rPr>
      </w:pPr>
      <w:r w:rsidRPr="008B1BF0">
        <w:rPr>
          <w:rFonts w:ascii="Arial" w:hAnsi="Arial" w:cs="Arial"/>
        </w:rPr>
        <w:t>Den reelle genanvendelse</w:t>
      </w:r>
      <w:r w:rsidR="00FD6E54" w:rsidRPr="008B1BF0">
        <w:rPr>
          <w:rFonts w:ascii="Arial" w:hAnsi="Arial" w:cs="Arial"/>
        </w:rPr>
        <w:t xml:space="preserve"> i procent</w:t>
      </w:r>
      <w:r w:rsidRPr="008B1BF0">
        <w:rPr>
          <w:rFonts w:ascii="Arial" w:hAnsi="Arial" w:cs="Arial"/>
        </w:rPr>
        <w:t xml:space="preserve"> kan ikke beregnes på fraktionsniveau</w:t>
      </w:r>
      <w:r w:rsidR="008B374C" w:rsidRPr="008B1BF0">
        <w:rPr>
          <w:rFonts w:ascii="Arial" w:hAnsi="Arial" w:cs="Arial"/>
        </w:rPr>
        <w:t xml:space="preserve">, men udelukkende totalt </w:t>
      </w:r>
      <w:r w:rsidR="00180AD0" w:rsidRPr="008B1BF0">
        <w:rPr>
          <w:rFonts w:ascii="Arial" w:hAnsi="Arial" w:cs="Arial"/>
        </w:rPr>
        <w:t xml:space="preserve">af MW </w:t>
      </w:r>
      <w:r w:rsidR="00200ACE">
        <w:rPr>
          <w:rFonts w:ascii="Arial" w:hAnsi="Arial" w:cs="Arial"/>
        </w:rPr>
        <w:t>(de 50</w:t>
      </w:r>
      <w:r w:rsidR="008B374C" w:rsidRPr="008B1BF0">
        <w:rPr>
          <w:rFonts w:ascii="Arial" w:hAnsi="Arial" w:cs="Arial"/>
        </w:rPr>
        <w:t xml:space="preserve">%). Dette </w:t>
      </w:r>
      <w:r w:rsidR="0050634D" w:rsidRPr="008B1BF0">
        <w:rPr>
          <w:rFonts w:ascii="Arial" w:hAnsi="Arial" w:cs="Arial"/>
        </w:rPr>
        <w:t>skyldes</w:t>
      </w:r>
      <w:r w:rsidR="006E2BE9" w:rsidRPr="008B1BF0">
        <w:rPr>
          <w:rFonts w:ascii="Arial" w:hAnsi="Arial" w:cs="Arial"/>
        </w:rPr>
        <w:t>,</w:t>
      </w:r>
      <w:r w:rsidR="0050634D" w:rsidRPr="008B1BF0">
        <w:rPr>
          <w:rFonts w:ascii="Arial" w:hAnsi="Arial" w:cs="Arial"/>
        </w:rPr>
        <w:t xml:space="preserve"> at en del af de forskellige MW-fraktioner stadig fejlsorteres og eksempelvis ender i restaffaldet. </w:t>
      </w:r>
      <w:r w:rsidR="00667525" w:rsidRPr="008B1BF0">
        <w:rPr>
          <w:rFonts w:ascii="Arial" w:hAnsi="Arial" w:cs="Arial"/>
        </w:rPr>
        <w:t>Mængden af fejlsorteringer i hver MW-fraktion rapporteres ikke i ADS, derfor kan den totale mæng</w:t>
      </w:r>
      <w:bookmarkStart w:id="5" w:name="_GoBack"/>
      <w:bookmarkEnd w:id="5"/>
      <w:r w:rsidR="00667525" w:rsidRPr="008B1BF0">
        <w:rPr>
          <w:rFonts w:ascii="Arial" w:hAnsi="Arial" w:cs="Arial"/>
        </w:rPr>
        <w:t xml:space="preserve">de af hver MW-fraktion ikke bestemmes, </w:t>
      </w:r>
      <w:r w:rsidR="0050634D" w:rsidRPr="008B1BF0">
        <w:rPr>
          <w:rFonts w:ascii="Arial" w:hAnsi="Arial" w:cs="Arial"/>
        </w:rPr>
        <w:t>hvorfor tabellens kolonne er tom her.</w:t>
      </w:r>
      <w:r w:rsidRPr="008B1BF0">
        <w:rPr>
          <w:rFonts w:ascii="Arial" w:hAnsi="Arial" w:cs="Arial"/>
        </w:rPr>
        <w:t xml:space="preserve"> </w:t>
      </w:r>
    </w:p>
    <w:p w14:paraId="1C5168DB" w14:textId="351D9F64" w:rsidR="006B7C55" w:rsidRPr="008B1BF0" w:rsidRDefault="006B7C55" w:rsidP="006B7C55">
      <w:pPr>
        <w:pStyle w:val="Eksempler"/>
        <w:rPr>
          <w:rFonts w:cs="Arial"/>
        </w:rPr>
      </w:pPr>
      <w:r w:rsidRPr="008B1BF0">
        <w:rPr>
          <w:rFonts w:cs="Arial"/>
        </w:rPr>
        <w:t>Der findes ikke data i ADS om materialefordelingen af sammensatte fraktioner. Derfor er kolonnen med Municipal waste totalt tom undtagen i sum-rækkerne. Fandtes der sorteringsanalyser der dækkede alle ordninger og fraktioner, ville det være muligt at have data her. Dette kaldes også potentialet</w:t>
      </w:r>
      <w:r w:rsidR="00B80522" w:rsidRPr="008B1BF0">
        <w:rPr>
          <w:rFonts w:cs="Arial"/>
        </w:rPr>
        <w:t xml:space="preserve"> eller den totale generede mængde</w:t>
      </w:r>
      <w:r w:rsidRPr="008B1BF0">
        <w:rPr>
          <w:rFonts w:cs="Arial"/>
        </w:rPr>
        <w:t xml:space="preserve">. </w:t>
      </w:r>
    </w:p>
    <w:p w14:paraId="71F47113" w14:textId="1F98D645" w:rsidR="006B7C55" w:rsidRPr="008B1BF0" w:rsidRDefault="00561948" w:rsidP="006D6AFC">
      <w:pPr>
        <w:pStyle w:val="Eksempler"/>
        <w:rPr>
          <w:rFonts w:cs="Arial"/>
        </w:rPr>
      </w:pPr>
      <w:r w:rsidRPr="008B1BF0">
        <w:rPr>
          <w:rFonts w:cs="Arial"/>
        </w:rPr>
        <w:t>Eksempelvis ved vi ikke hvor meget plast, glas og pap der findes i MW fraktionen ”Blandet husholdning og service affald (restaffaldet)”</w:t>
      </w:r>
      <w:r w:rsidR="004E3643" w:rsidRPr="008B1BF0">
        <w:rPr>
          <w:rFonts w:cs="Arial"/>
        </w:rPr>
        <w:t>.</w:t>
      </w:r>
      <w:r w:rsidR="00E73F49" w:rsidRPr="008B1BF0">
        <w:rPr>
          <w:rFonts w:cs="Arial"/>
        </w:rPr>
        <w:t xml:space="preserve"> </w:t>
      </w:r>
    </w:p>
    <w:p w14:paraId="732F3E0D" w14:textId="52B6124F" w:rsidR="006B7C55" w:rsidRPr="008B1BF0" w:rsidRDefault="00783CD4" w:rsidP="00783CD4">
      <w:pPr>
        <w:pStyle w:val="Overskrift3"/>
        <w:rPr>
          <w:rFonts w:cs="Arial"/>
        </w:rPr>
      </w:pPr>
      <w:r w:rsidRPr="008B1BF0">
        <w:rPr>
          <w:rFonts w:cs="Arial"/>
        </w:rPr>
        <w:t>Uddybning af slutbehandlingsraterne</w:t>
      </w:r>
    </w:p>
    <w:p w14:paraId="5B5F8EB3" w14:textId="755205F8" w:rsidR="00783CD4" w:rsidRDefault="00E708CA" w:rsidP="00783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</w:t>
      </w:r>
      <w:r w:rsidR="00EC7C45" w:rsidRPr="008B1BF0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nogle af </w:t>
      </w:r>
      <w:r w:rsidR="00EC7C45" w:rsidRPr="008B1BF0">
        <w:rPr>
          <w:rFonts w:ascii="Arial" w:hAnsi="Arial" w:cs="Arial"/>
        </w:rPr>
        <w:t>slutbehandlingsraterne f</w:t>
      </w:r>
      <w:r w:rsidR="002252EC">
        <w:rPr>
          <w:rFonts w:ascii="Arial" w:hAnsi="Arial" w:cs="Arial"/>
        </w:rPr>
        <w:t>or 2022</w:t>
      </w:r>
      <w:r w:rsidR="00EC7C45" w:rsidRPr="008B1BF0">
        <w:rPr>
          <w:rFonts w:ascii="Arial" w:hAnsi="Arial" w:cs="Arial"/>
        </w:rPr>
        <w:t xml:space="preserve"> kort kommenteret. Som tidligere beskrevet er disse slutbehandlingsrater ikke direkte sammenlignelige med de genanvendelsesandele kommunerne får oplyst fra deres modtageanlæg. </w:t>
      </w:r>
    </w:p>
    <w:p w14:paraId="7AB166EB" w14:textId="31350E2E" w:rsidR="00E708CA" w:rsidRDefault="00E708CA" w:rsidP="00F26B0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 w:rsidRPr="00E708CA">
        <w:rPr>
          <w:rFonts w:ascii="Arial" w:hAnsi="Arial" w:cs="Arial"/>
        </w:rPr>
        <w:lastRenderedPageBreak/>
        <w:t>Slutbehandlingsrater der er 0%</w:t>
      </w:r>
      <w:r w:rsidR="003021AF">
        <w:rPr>
          <w:rFonts w:ascii="Arial" w:hAnsi="Arial" w:cs="Arial"/>
        </w:rPr>
        <w:t xml:space="preserve"> eller tæt derpå</w:t>
      </w:r>
      <w:r w:rsidRPr="00E708CA">
        <w:rPr>
          <w:rFonts w:ascii="Arial" w:hAnsi="Arial" w:cs="Arial"/>
        </w:rPr>
        <w:t xml:space="preserve"> (Blandet husholdning og service affald (restaffaldet)</w:t>
      </w:r>
      <w:r w:rsidR="003021AF">
        <w:rPr>
          <w:rFonts w:ascii="Arial" w:hAnsi="Arial" w:cs="Arial"/>
        </w:rPr>
        <w:t xml:space="preserve"> og Storskrald)</w:t>
      </w:r>
      <w:r w:rsidRPr="00E708CA">
        <w:rPr>
          <w:rFonts w:ascii="Arial" w:hAnsi="Arial" w:cs="Arial"/>
        </w:rPr>
        <w:t xml:space="preserve"> </w:t>
      </w:r>
    </w:p>
    <w:p w14:paraId="49AF698D" w14:textId="30167265" w:rsidR="00E708CA" w:rsidRDefault="00E708CA" w:rsidP="00E708CA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Slutbehandlingsraten er nul, da fraktionerne indsamlet til genanvendelse ikke slutbehandles med genanvendelse inden for den samme fraktion</w:t>
      </w:r>
    </w:p>
    <w:p w14:paraId="14E8D911" w14:textId="49EA1B2C" w:rsidR="00E708CA" w:rsidRPr="00E708CA" w:rsidRDefault="00E708CA" w:rsidP="00E708CA">
      <w:pPr>
        <w:pStyle w:val="Eksempler"/>
      </w:pPr>
      <w:r>
        <w:t>Storskrald indsamlet til genanvendelse sorteres og genanvendes f.eks. som jern og træ.</w:t>
      </w:r>
    </w:p>
    <w:p w14:paraId="5925D330" w14:textId="31A42214" w:rsidR="00E708CA" w:rsidRDefault="00E708CA" w:rsidP="00E708C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Slutbehandlingsrater m</w:t>
      </w:r>
      <w:r w:rsidR="00845B0A">
        <w:rPr>
          <w:rFonts w:ascii="Arial" w:hAnsi="Arial" w:cs="Arial"/>
        </w:rPr>
        <w:t>ed en lav procentsats (</w:t>
      </w:r>
      <w:r w:rsidRPr="00E708CA">
        <w:rPr>
          <w:rFonts w:ascii="Arial" w:hAnsi="Arial" w:cs="Arial"/>
        </w:rPr>
        <w:t>Batterier</w:t>
      </w:r>
      <w:r w:rsidR="00845B0A">
        <w:rPr>
          <w:rFonts w:ascii="Arial" w:hAnsi="Arial" w:cs="Arial"/>
        </w:rPr>
        <w:t xml:space="preserve"> og kasseret elektronisk udstyr (WEEE)</w:t>
      </w:r>
      <w:r>
        <w:rPr>
          <w:rFonts w:ascii="Arial" w:hAnsi="Arial" w:cs="Arial"/>
        </w:rPr>
        <w:t>)</w:t>
      </w:r>
    </w:p>
    <w:p w14:paraId="78606024" w14:textId="413BC689" w:rsidR="00E708CA" w:rsidRDefault="00E708CA" w:rsidP="00E708CA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Den sidste indberetning af disse fraktioner, er ikke altid den indsamlede fraktion.</w:t>
      </w:r>
    </w:p>
    <w:p w14:paraId="3341ACF7" w14:textId="6BF2BD84" w:rsidR="00E708CA" w:rsidRDefault="00E708CA" w:rsidP="00E708C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Slutbehandlingsrater over 100% (</w:t>
      </w:r>
      <w:r w:rsidRPr="00E708CA">
        <w:rPr>
          <w:rFonts w:ascii="Arial" w:hAnsi="Arial" w:cs="Arial"/>
        </w:rPr>
        <w:t>Metaller og metalemballage</w:t>
      </w:r>
      <w:r>
        <w:rPr>
          <w:rFonts w:ascii="Arial" w:hAnsi="Arial" w:cs="Arial"/>
        </w:rPr>
        <w:t xml:space="preserve"> og </w:t>
      </w:r>
      <w:r w:rsidRPr="00E708CA">
        <w:rPr>
          <w:rFonts w:ascii="Arial" w:hAnsi="Arial" w:cs="Arial"/>
        </w:rPr>
        <w:t>Olie og fedt</w:t>
      </w:r>
      <w:r>
        <w:rPr>
          <w:rFonts w:ascii="Arial" w:hAnsi="Arial" w:cs="Arial"/>
        </w:rPr>
        <w:t>)</w:t>
      </w:r>
    </w:p>
    <w:p w14:paraId="16BA4095" w14:textId="693A3A38" w:rsidR="00030FE6" w:rsidRDefault="00E708CA" w:rsidP="00783CD4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Materialer indsamlet som andre fraktioner, slutbehandles til sidst som disse fraktioner.</w:t>
      </w:r>
    </w:p>
    <w:p w14:paraId="79D865FC" w14:textId="2DCCFF35" w:rsidR="00E708CA" w:rsidRPr="00E708CA" w:rsidRDefault="005F2536" w:rsidP="00E708CA">
      <w:pPr>
        <w:pStyle w:val="Eksempler"/>
      </w:pPr>
      <w:r>
        <w:t xml:space="preserve">Metal indsamlet til genanvendelse i ordningerne for storskrald eller glas slutbehandles i sidste ende som metal. </w:t>
      </w:r>
      <w:r w:rsidR="00845B0A">
        <w:t>Den noget højere genanvendte mængde af metal kan også skyldes, at noget af det, der har været oplagret fra tidligere år er solgt og genanvendt i 2022.</w:t>
      </w:r>
    </w:p>
    <w:p w14:paraId="4FBB5FF4" w14:textId="59AC9CFC" w:rsidR="00F05521" w:rsidRPr="008B1BF0" w:rsidRDefault="009F5F5B" w:rsidP="006D6AFC">
      <w:pPr>
        <w:pStyle w:val="Overskrift1"/>
      </w:pPr>
      <w:r w:rsidRPr="008B1BF0">
        <w:t>Beregning af reel genanvendelse på kommunalt niveau</w:t>
      </w:r>
    </w:p>
    <w:p w14:paraId="5C4BA34D" w14:textId="2E2A989C" w:rsidR="00D953A6" w:rsidRPr="008B1BF0" w:rsidRDefault="00FD6E54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På nuværende tidspunkt har data indberettet til ADS en sådan karakter, at det ikke er muligt at opgøre reel genanvendelse for de enkelte kommuner på en måde</w:t>
      </w:r>
      <w:r w:rsidR="00A96B2D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hvor der tages højde for kommunespecifikke forhold. </w:t>
      </w:r>
      <w:r w:rsidR="008D65B0" w:rsidRPr="008B1BF0">
        <w:rPr>
          <w:rFonts w:ascii="Arial" w:hAnsi="Arial" w:cs="Arial"/>
        </w:rPr>
        <w:t>Når Miljøstyrelsen beregner ree</w:t>
      </w:r>
      <w:r w:rsidR="0061154F" w:rsidRPr="008B1BF0">
        <w:rPr>
          <w:rFonts w:ascii="Arial" w:hAnsi="Arial" w:cs="Arial"/>
        </w:rPr>
        <w:t>l genanvendelse for de enkelte</w:t>
      </w:r>
      <w:r w:rsidR="008D65B0" w:rsidRPr="008B1BF0">
        <w:rPr>
          <w:rFonts w:ascii="Arial" w:hAnsi="Arial" w:cs="Arial"/>
        </w:rPr>
        <w:t xml:space="preserve"> </w:t>
      </w:r>
      <w:r w:rsidR="00570BE5" w:rsidRPr="008B1BF0">
        <w:rPr>
          <w:rFonts w:ascii="Arial" w:hAnsi="Arial" w:cs="Arial"/>
        </w:rPr>
        <w:t>kommuner,</w:t>
      </w:r>
      <w:r w:rsidR="008D65B0" w:rsidRPr="008B1BF0">
        <w:rPr>
          <w:rFonts w:ascii="Arial" w:hAnsi="Arial" w:cs="Arial"/>
        </w:rPr>
        <w:t xml:space="preserve"> </w:t>
      </w:r>
      <w:r w:rsidR="0061154F" w:rsidRPr="008B1BF0">
        <w:rPr>
          <w:rFonts w:ascii="Arial" w:hAnsi="Arial" w:cs="Arial"/>
        </w:rPr>
        <w:t xml:space="preserve">sammenholder modellen </w:t>
      </w:r>
      <w:r w:rsidR="003A2525" w:rsidRPr="008B1BF0">
        <w:rPr>
          <w:rFonts w:ascii="Arial" w:hAnsi="Arial" w:cs="Arial"/>
        </w:rPr>
        <w:t xml:space="preserve">derfor </w:t>
      </w:r>
      <w:r w:rsidR="0061154F" w:rsidRPr="008B1BF0">
        <w:rPr>
          <w:rFonts w:ascii="Arial" w:hAnsi="Arial" w:cs="Arial"/>
        </w:rPr>
        <w:t>d</w:t>
      </w:r>
      <w:r w:rsidR="009F5F5B" w:rsidRPr="008B1BF0">
        <w:rPr>
          <w:rFonts w:ascii="Arial" w:hAnsi="Arial" w:cs="Arial"/>
        </w:rPr>
        <w:t>e</w:t>
      </w:r>
      <w:r w:rsidR="0061154F" w:rsidRPr="008B1BF0">
        <w:rPr>
          <w:rFonts w:ascii="Arial" w:hAnsi="Arial" w:cs="Arial"/>
        </w:rPr>
        <w:t xml:space="preserve"> nationale </w:t>
      </w:r>
      <w:r w:rsidR="009F5F5B" w:rsidRPr="008B1BF0">
        <w:rPr>
          <w:rFonts w:ascii="Arial" w:hAnsi="Arial" w:cs="Arial"/>
        </w:rPr>
        <w:t>slutbehandlings</w:t>
      </w:r>
      <w:r w:rsidR="0061154F" w:rsidRPr="008B1BF0">
        <w:rPr>
          <w:rFonts w:ascii="Arial" w:hAnsi="Arial" w:cs="Arial"/>
        </w:rPr>
        <w:t xml:space="preserve">rater med </w:t>
      </w:r>
      <w:r w:rsidR="00A96B2D">
        <w:rPr>
          <w:rFonts w:ascii="Arial" w:hAnsi="Arial" w:cs="Arial"/>
        </w:rPr>
        <w:t xml:space="preserve">mængderne af MW </w:t>
      </w:r>
      <w:r w:rsidR="00C6033D" w:rsidRPr="008B1BF0">
        <w:rPr>
          <w:rFonts w:ascii="Arial" w:hAnsi="Arial" w:cs="Arial"/>
        </w:rPr>
        <w:t xml:space="preserve">indsamlet til genanvendelse i </w:t>
      </w:r>
      <w:r w:rsidR="0061154F" w:rsidRPr="008B1BF0">
        <w:rPr>
          <w:rFonts w:ascii="Arial" w:hAnsi="Arial" w:cs="Arial"/>
        </w:rPr>
        <w:t xml:space="preserve">de enkelte kommuner. </w:t>
      </w:r>
    </w:p>
    <w:p w14:paraId="7098C001" w14:textId="1ACB9B73" w:rsidR="00180AD0" w:rsidRPr="008B1BF0" w:rsidRDefault="006866B8" w:rsidP="006D6AFC">
      <w:pPr>
        <w:pStyle w:val="Eksempler"/>
        <w:rPr>
          <w:rFonts w:cs="Arial"/>
        </w:rPr>
      </w:pPr>
      <w:r>
        <w:rPr>
          <w:rFonts w:cs="Arial"/>
        </w:rPr>
        <w:t>Det antages altså at glas</w:t>
      </w:r>
      <w:r w:rsidR="00180AD0" w:rsidRPr="008B1BF0">
        <w:rPr>
          <w:rFonts w:cs="Arial"/>
        </w:rPr>
        <w:t xml:space="preserve">-ordningen indsamlet i Århus eller i Fredericia Kommune reelt genanvendes i samme grad.  </w:t>
      </w:r>
    </w:p>
    <w:p w14:paraId="7AFC7719" w14:textId="5F92D1BA" w:rsidR="0061154F" w:rsidRPr="008B1BF0" w:rsidRDefault="0061154F" w:rsidP="00C81AE4">
      <w:pPr>
        <w:rPr>
          <w:rFonts w:ascii="Arial" w:hAnsi="Arial" w:cs="Arial"/>
        </w:rPr>
      </w:pPr>
    </w:p>
    <w:p w14:paraId="302ACF52" w14:textId="2377FAC1" w:rsidR="000C1569" w:rsidRPr="008B1BF0" w:rsidRDefault="0061154F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Eftersom de samme værdier for andelen der er slutbehandlet til genanvendelse</w:t>
      </w:r>
      <w:r w:rsidR="00977BA4" w:rsidRPr="008B1BF0">
        <w:rPr>
          <w:rFonts w:ascii="Arial" w:hAnsi="Arial" w:cs="Arial"/>
        </w:rPr>
        <w:t xml:space="preserve"> (slutbehandlingsraterne)</w:t>
      </w:r>
      <w:r w:rsidR="009F5F5B" w:rsidRPr="008B1BF0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anvendes til at beregne kommunale genanvendelsesprocenter</w:t>
      </w:r>
      <w:r w:rsidR="00C6033D" w:rsidRPr="008B1BF0">
        <w:rPr>
          <w:rFonts w:ascii="Arial" w:hAnsi="Arial" w:cs="Arial"/>
        </w:rPr>
        <w:t xml:space="preserve"> på tværs af alle kommuner</w:t>
      </w:r>
      <w:r w:rsidRPr="008B1BF0">
        <w:rPr>
          <w:rFonts w:ascii="Arial" w:hAnsi="Arial" w:cs="Arial"/>
        </w:rPr>
        <w:t>, anerkender Miljøstyrelsen</w:t>
      </w:r>
      <w:r w:rsidR="00A96B2D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at estimaterne for reel genanvendelse pr. kommune er relativt usikre. </w:t>
      </w:r>
    </w:p>
    <w:p w14:paraId="0C0C9B77" w14:textId="77777777" w:rsidR="000C1569" w:rsidRPr="008B1BF0" w:rsidRDefault="000C1569" w:rsidP="00C81AE4">
      <w:pPr>
        <w:rPr>
          <w:rFonts w:ascii="Arial" w:hAnsi="Arial" w:cs="Arial"/>
        </w:rPr>
      </w:pPr>
    </w:p>
    <w:p w14:paraId="69E3ED7F" w14:textId="36407B3F" w:rsidR="00D953A6" w:rsidRPr="008B1BF0" w:rsidRDefault="00D11308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Miljøstyrelsen er bekendt med, at nogle kommuner kan have mere præcis</w:t>
      </w:r>
      <w:r w:rsidR="000C1569" w:rsidRPr="008B1BF0">
        <w:rPr>
          <w:rFonts w:ascii="Arial" w:hAnsi="Arial" w:cs="Arial"/>
        </w:rPr>
        <w:t>e</w:t>
      </w:r>
      <w:r w:rsidRPr="008B1BF0">
        <w:rPr>
          <w:rFonts w:ascii="Arial" w:hAnsi="Arial" w:cs="Arial"/>
        </w:rPr>
        <w:t xml:space="preserve"> data for mængden og andelen af de forskellige fraktioner, der bliver slutbehandlet til genanvendelse. Derfor har Miljøstyrelsen udviklet nedenstående tabel, som giver kommunerne mulighed for at </w:t>
      </w:r>
      <w:r w:rsidR="00D5240C" w:rsidRPr="008B1BF0">
        <w:rPr>
          <w:rFonts w:ascii="Arial" w:hAnsi="Arial" w:cs="Arial"/>
        </w:rPr>
        <w:t>gennemse beregningen af</w:t>
      </w:r>
      <w:r w:rsidRPr="008B1BF0">
        <w:rPr>
          <w:rFonts w:ascii="Arial" w:hAnsi="Arial" w:cs="Arial"/>
        </w:rPr>
        <w:t xml:space="preserve"> deres reelle genanvendelse. </w:t>
      </w:r>
      <w:r w:rsidR="0061154F" w:rsidRPr="008B1BF0">
        <w:rPr>
          <w:rFonts w:ascii="Arial" w:hAnsi="Arial" w:cs="Arial"/>
        </w:rPr>
        <w:t xml:space="preserve">  </w:t>
      </w:r>
    </w:p>
    <w:p w14:paraId="1012A4C0" w14:textId="77777777" w:rsidR="009F5F5B" w:rsidRPr="008B1BF0" w:rsidRDefault="009F5F5B" w:rsidP="00C81AE4">
      <w:pPr>
        <w:rPr>
          <w:rFonts w:ascii="Arial" w:hAnsi="Arial" w:cs="Arial"/>
        </w:rPr>
      </w:pPr>
    </w:p>
    <w:p w14:paraId="40EF40D3" w14:textId="676F5A60" w:rsidR="0049121F" w:rsidRPr="008B1BF0" w:rsidRDefault="00D045D5" w:rsidP="005618F9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I tabellen på næste side er det muligt at </w:t>
      </w:r>
      <w:r w:rsidR="00CD6911" w:rsidRPr="008B1BF0">
        <w:rPr>
          <w:rFonts w:ascii="Arial" w:hAnsi="Arial" w:cs="Arial"/>
        </w:rPr>
        <w:t xml:space="preserve">se datagrundlaget og beregningen for </w:t>
      </w:r>
      <w:r w:rsidRPr="008B1BF0">
        <w:rPr>
          <w:rFonts w:ascii="Arial" w:hAnsi="Arial" w:cs="Arial"/>
        </w:rPr>
        <w:t xml:space="preserve">den reelle genanvendelse </w:t>
      </w:r>
      <w:r w:rsidR="00CD6911" w:rsidRPr="008B1BF0">
        <w:rPr>
          <w:rFonts w:ascii="Arial" w:hAnsi="Arial" w:cs="Arial"/>
        </w:rPr>
        <w:t>for</w:t>
      </w:r>
      <w:r w:rsidRPr="008B1BF0">
        <w:rPr>
          <w:rFonts w:ascii="Arial" w:hAnsi="Arial" w:cs="Arial"/>
        </w:rPr>
        <w:t xml:space="preserve"> </w:t>
      </w:r>
      <w:r w:rsidR="009F5F5B" w:rsidRPr="008B1BF0">
        <w:rPr>
          <w:rFonts w:ascii="Arial" w:hAnsi="Arial" w:cs="Arial"/>
        </w:rPr>
        <w:t>den enkelte</w:t>
      </w:r>
      <w:r w:rsidRPr="008B1BF0">
        <w:rPr>
          <w:rFonts w:ascii="Arial" w:hAnsi="Arial" w:cs="Arial"/>
        </w:rPr>
        <w:t xml:space="preserve"> kommune. </w:t>
      </w:r>
      <w:r w:rsidR="000B079D" w:rsidRPr="008B1BF0">
        <w:rPr>
          <w:rFonts w:ascii="Arial" w:hAnsi="Arial" w:cs="Arial"/>
        </w:rPr>
        <w:t xml:space="preserve">Data er både fremstillet for </w:t>
      </w:r>
      <w:r w:rsidR="000C1569" w:rsidRPr="008B1BF0">
        <w:rPr>
          <w:rFonts w:ascii="Arial" w:hAnsi="Arial" w:cs="Arial"/>
        </w:rPr>
        <w:t>MW</w:t>
      </w:r>
      <w:r w:rsidR="000B079D" w:rsidRPr="008B1BF0">
        <w:rPr>
          <w:rFonts w:ascii="Arial" w:hAnsi="Arial" w:cs="Arial"/>
        </w:rPr>
        <w:t xml:space="preserve"> og for husholdningsaffald (eks</w:t>
      </w:r>
      <w:r w:rsidR="003F2F53" w:rsidRPr="008B1BF0">
        <w:rPr>
          <w:rFonts w:ascii="Arial" w:hAnsi="Arial" w:cs="Arial"/>
        </w:rPr>
        <w:t>k</w:t>
      </w:r>
      <w:r w:rsidR="000B079D" w:rsidRPr="008B1BF0">
        <w:rPr>
          <w:rFonts w:ascii="Arial" w:hAnsi="Arial" w:cs="Arial"/>
        </w:rPr>
        <w:t>l. have- og byggeanlægsaffald).</w:t>
      </w:r>
      <w:r w:rsidR="008B6F11" w:rsidRPr="008B1BF0">
        <w:rPr>
          <w:rFonts w:ascii="Arial" w:hAnsi="Arial" w:cs="Arial"/>
        </w:rPr>
        <w:t xml:space="preserve"> </w:t>
      </w:r>
    </w:p>
    <w:p w14:paraId="5A400145" w14:textId="024D8751" w:rsidR="00D045D5" w:rsidRPr="008B1BF0" w:rsidRDefault="009F5F5B" w:rsidP="006D6AFC">
      <w:pPr>
        <w:pStyle w:val="Overskrift2"/>
        <w:rPr>
          <w:rFonts w:cs="Arial"/>
        </w:rPr>
      </w:pPr>
      <w:r w:rsidRPr="008B1BF0">
        <w:rPr>
          <w:rFonts w:cs="Arial"/>
        </w:rPr>
        <w:t>Sådan ser du datagrundlaget samt beregningen for en specifik kommune</w:t>
      </w:r>
    </w:p>
    <w:p w14:paraId="7D8549CC" w14:textId="112B1ABF" w:rsidR="00D045D5" w:rsidRPr="008B1BF0" w:rsidRDefault="005618F9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 at se data for </w:t>
      </w:r>
      <w:r w:rsidR="008B0293">
        <w:rPr>
          <w:rFonts w:ascii="Arial" w:hAnsi="Arial" w:cs="Arial"/>
          <w:szCs w:val="22"/>
        </w:rPr>
        <w:t>en specifik kommune</w:t>
      </w:r>
      <w:r w:rsidR="00FC1FCD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har</w:t>
      </w:r>
      <w:r w:rsidR="00FC1FCD" w:rsidRPr="008B1BF0">
        <w:rPr>
          <w:rFonts w:ascii="Arial" w:hAnsi="Arial" w:cs="Arial"/>
          <w:szCs w:val="22"/>
        </w:rPr>
        <w:t xml:space="preserve"> du</w:t>
      </w:r>
      <w:r w:rsidR="00D045D5" w:rsidRPr="008B1BF0">
        <w:rPr>
          <w:rFonts w:ascii="Arial" w:hAnsi="Arial" w:cs="Arial"/>
          <w:szCs w:val="22"/>
        </w:rPr>
        <w:t xml:space="preserve"> to muligheder for at </w:t>
      </w:r>
      <w:r w:rsidR="000C1569" w:rsidRPr="008B1BF0">
        <w:rPr>
          <w:rFonts w:ascii="Arial" w:hAnsi="Arial" w:cs="Arial"/>
          <w:szCs w:val="22"/>
        </w:rPr>
        <w:t>anvende</w:t>
      </w:r>
      <w:r w:rsidR="00D045D5" w:rsidRPr="008B1BF0">
        <w:rPr>
          <w:rFonts w:ascii="Arial" w:hAnsi="Arial" w:cs="Arial"/>
          <w:szCs w:val="22"/>
        </w:rPr>
        <w:t xml:space="preserve"> tabellen</w:t>
      </w:r>
      <w:r w:rsidR="00D120F3">
        <w:rPr>
          <w:rFonts w:ascii="Arial" w:hAnsi="Arial" w:cs="Arial"/>
          <w:szCs w:val="22"/>
        </w:rPr>
        <w:t>:</w:t>
      </w:r>
    </w:p>
    <w:p w14:paraId="7864988F" w14:textId="37500DC2" w:rsidR="00D045D5" w:rsidRPr="008B1BF0" w:rsidRDefault="00981279" w:rsidP="00A31C65">
      <w:pPr>
        <w:pStyle w:val="Listeafsnit"/>
        <w:numPr>
          <w:ilvl w:val="0"/>
          <w:numId w:val="25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Dobbeltklik for at redigere</w:t>
      </w:r>
      <w:r w:rsidR="00D045D5" w:rsidRPr="008B1BF0">
        <w:rPr>
          <w:rFonts w:ascii="Arial" w:hAnsi="Arial" w:cs="Arial"/>
          <w:szCs w:val="22"/>
        </w:rPr>
        <w:t xml:space="preserve"> direkte her</w:t>
      </w:r>
      <w:r w:rsidRPr="008B1BF0">
        <w:rPr>
          <w:rFonts w:ascii="Arial" w:hAnsi="Arial" w:cs="Arial"/>
          <w:szCs w:val="22"/>
        </w:rPr>
        <w:t xml:space="preserve"> i Word. </w:t>
      </w:r>
      <w:r w:rsidR="00D045D5" w:rsidRPr="008B1BF0">
        <w:rPr>
          <w:rFonts w:ascii="Arial" w:hAnsi="Arial" w:cs="Arial"/>
          <w:szCs w:val="22"/>
        </w:rPr>
        <w:t>For at stoppe med at redigere</w:t>
      </w:r>
      <w:r w:rsidR="000C1569" w:rsidRPr="008B1BF0">
        <w:rPr>
          <w:rFonts w:ascii="Arial" w:hAnsi="Arial" w:cs="Arial"/>
          <w:szCs w:val="22"/>
        </w:rPr>
        <w:t xml:space="preserve"> skal du</w:t>
      </w:r>
      <w:r w:rsidR="00A31C65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klik</w:t>
      </w:r>
      <w:r w:rsidR="000C1569" w:rsidRPr="008B1BF0">
        <w:rPr>
          <w:rFonts w:ascii="Arial" w:hAnsi="Arial" w:cs="Arial"/>
          <w:szCs w:val="22"/>
        </w:rPr>
        <w:t>ke</w:t>
      </w:r>
      <w:r w:rsidR="00D045D5" w:rsidRPr="008B1BF0">
        <w:rPr>
          <w:rFonts w:ascii="Arial" w:hAnsi="Arial" w:cs="Arial"/>
          <w:szCs w:val="22"/>
        </w:rPr>
        <w:t xml:space="preserve"> et vilkårligt sted uden</w:t>
      </w:r>
      <w:r w:rsidR="00E670B6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for tabellen.</w:t>
      </w:r>
    </w:p>
    <w:p w14:paraId="3050A042" w14:textId="5F7FE15C" w:rsidR="00D045D5" w:rsidRPr="008B1BF0" w:rsidRDefault="00981279" w:rsidP="00A31C65">
      <w:pPr>
        <w:pStyle w:val="Listeafsnit"/>
        <w:numPr>
          <w:ilvl w:val="0"/>
          <w:numId w:val="25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Højre-klik og tryk ”Regneark-objekt” og derefter ”Åbn” for at åbne tabellen i Excel.</w:t>
      </w:r>
      <w:r w:rsidR="00D045D5" w:rsidRPr="008B1BF0">
        <w:rPr>
          <w:rFonts w:ascii="Arial" w:hAnsi="Arial" w:cs="Arial"/>
          <w:szCs w:val="22"/>
        </w:rPr>
        <w:t xml:space="preserve"> Gem og luk Excel for at vende tilbage til Word.</w:t>
      </w:r>
    </w:p>
    <w:p w14:paraId="64D820DF" w14:textId="03C61374" w:rsidR="00D045D5" w:rsidRPr="008B1BF0" w:rsidRDefault="00D045D5">
      <w:pPr>
        <w:rPr>
          <w:rFonts w:ascii="Arial" w:hAnsi="Arial" w:cs="Arial"/>
          <w:szCs w:val="22"/>
        </w:rPr>
      </w:pPr>
    </w:p>
    <w:p w14:paraId="3FD36A95" w14:textId="664C1FFC" w:rsidR="00A17348" w:rsidRPr="008B1BF0" w:rsidRDefault="00575CD1" w:rsidP="00575CD1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Du skal </w:t>
      </w:r>
      <w:r w:rsidR="00BA2B46" w:rsidRPr="008B1BF0">
        <w:rPr>
          <w:rFonts w:ascii="Arial" w:hAnsi="Arial" w:cs="Arial"/>
          <w:szCs w:val="22"/>
        </w:rPr>
        <w:t>vælge din kommune øverst i den blå celle</w:t>
      </w:r>
      <w:r w:rsidRPr="008B1BF0">
        <w:rPr>
          <w:rFonts w:ascii="Arial" w:hAnsi="Arial" w:cs="Arial"/>
          <w:szCs w:val="22"/>
        </w:rPr>
        <w:t xml:space="preserve">. </w:t>
      </w:r>
      <w:r w:rsidR="00CD16B9" w:rsidRPr="008B1BF0">
        <w:rPr>
          <w:rFonts w:ascii="Arial" w:hAnsi="Arial" w:cs="Arial"/>
          <w:szCs w:val="22"/>
        </w:rPr>
        <w:t xml:space="preserve">De resterende </w:t>
      </w:r>
      <w:r w:rsidRPr="008B1BF0">
        <w:rPr>
          <w:rFonts w:ascii="Arial" w:hAnsi="Arial" w:cs="Arial"/>
          <w:szCs w:val="22"/>
        </w:rPr>
        <w:t>celle</w:t>
      </w:r>
      <w:r w:rsidR="00E83293" w:rsidRPr="008B1BF0">
        <w:rPr>
          <w:rFonts w:ascii="Arial" w:hAnsi="Arial" w:cs="Arial"/>
          <w:szCs w:val="22"/>
        </w:rPr>
        <w:t>r</w:t>
      </w:r>
      <w:r w:rsidRPr="008B1BF0">
        <w:rPr>
          <w:rFonts w:ascii="Arial" w:hAnsi="Arial" w:cs="Arial"/>
          <w:szCs w:val="22"/>
        </w:rPr>
        <w:t xml:space="preserve"> er låste</w:t>
      </w:r>
      <w:r w:rsidR="00E83293" w:rsidRPr="008B1BF0">
        <w:rPr>
          <w:rFonts w:ascii="Arial" w:hAnsi="Arial" w:cs="Arial"/>
          <w:szCs w:val="22"/>
        </w:rPr>
        <w:t xml:space="preserve">. Dette </w:t>
      </w:r>
      <w:r w:rsidRPr="008B1BF0">
        <w:rPr>
          <w:rFonts w:ascii="Arial" w:hAnsi="Arial" w:cs="Arial"/>
          <w:szCs w:val="22"/>
        </w:rPr>
        <w:t>for at du ikke kommer til at redigere i formler og værdier</w:t>
      </w:r>
      <w:r w:rsidR="00372137" w:rsidRPr="008B1BF0">
        <w:rPr>
          <w:rFonts w:ascii="Arial" w:hAnsi="Arial" w:cs="Arial"/>
          <w:szCs w:val="22"/>
        </w:rPr>
        <w:t>,</w:t>
      </w:r>
      <w:r w:rsidRPr="008B1BF0">
        <w:rPr>
          <w:rFonts w:ascii="Arial" w:hAnsi="Arial" w:cs="Arial"/>
          <w:szCs w:val="22"/>
        </w:rPr>
        <w:t xml:space="preserve"> der er givet af Miljøstyrelsen.</w:t>
      </w:r>
    </w:p>
    <w:p w14:paraId="36B8BD61" w14:textId="0B185E94" w:rsidR="00575CD1" w:rsidRPr="008B1BF0" w:rsidRDefault="00575CD1" w:rsidP="00575CD1">
      <w:pPr>
        <w:rPr>
          <w:rFonts w:ascii="Arial" w:hAnsi="Arial" w:cs="Arial"/>
          <w:szCs w:val="22"/>
        </w:rPr>
      </w:pPr>
    </w:p>
    <w:p w14:paraId="1381E755" w14:textId="77777777" w:rsidR="003052C8" w:rsidRPr="008B1BF0" w:rsidRDefault="003052C8" w:rsidP="00575CD1">
      <w:pPr>
        <w:rPr>
          <w:rFonts w:ascii="Arial" w:hAnsi="Arial" w:cs="Arial"/>
          <w:szCs w:val="22"/>
        </w:rPr>
      </w:pPr>
    </w:p>
    <w:p w14:paraId="4F54303F" w14:textId="08BFC00D" w:rsidR="00575CD1" w:rsidRDefault="00575CD1">
      <w:pPr>
        <w:rPr>
          <w:szCs w:val="22"/>
        </w:rPr>
        <w:sectPr w:rsidR="00575CD1" w:rsidSect="00B255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134" w:bottom="1701" w:left="1134" w:header="459" w:footer="782" w:gutter="0"/>
          <w:pgNumType w:start="1"/>
          <w:cols w:space="708"/>
          <w:titlePg/>
          <w:docGrid w:linePitch="360"/>
        </w:sectPr>
      </w:pPr>
    </w:p>
    <w:p w14:paraId="5F5A7629" w14:textId="0F48F6AF" w:rsidR="00997C9A" w:rsidRPr="00997C9A" w:rsidRDefault="00FE45CE" w:rsidP="00997C9A">
      <w:pPr>
        <w:pStyle w:val="Billedtekst"/>
        <w:rPr>
          <w:rFonts w:ascii="Arial" w:hAnsi="Arial" w:cs="Arial"/>
          <w:b w:val="0"/>
        </w:rPr>
      </w:pPr>
      <w:bookmarkStart w:id="7" w:name="_Ref158379133"/>
      <w:r w:rsidRPr="000663CC">
        <w:rPr>
          <w:rFonts w:ascii="Arial" w:hAnsi="Arial" w:cs="Arial"/>
        </w:rPr>
        <w:lastRenderedPageBreak/>
        <w:t xml:space="preserve">Tabel </w:t>
      </w:r>
      <w:r w:rsidRPr="000663CC">
        <w:rPr>
          <w:rFonts w:ascii="Arial" w:hAnsi="Arial" w:cs="Arial"/>
        </w:rPr>
        <w:fldChar w:fldCharType="begin"/>
      </w:r>
      <w:r w:rsidRPr="000663CC">
        <w:rPr>
          <w:rFonts w:ascii="Arial" w:hAnsi="Arial" w:cs="Arial"/>
        </w:rPr>
        <w:instrText xml:space="preserve"> SEQ Tabel \* ARABIC </w:instrText>
      </w:r>
      <w:r w:rsidRPr="000663CC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3</w:t>
      </w:r>
      <w:r w:rsidRPr="000663CC">
        <w:rPr>
          <w:rFonts w:ascii="Arial" w:hAnsi="Arial" w:cs="Arial"/>
        </w:rPr>
        <w:fldChar w:fldCharType="end"/>
      </w:r>
      <w:bookmarkEnd w:id="7"/>
      <w:r w:rsidRPr="000663CC">
        <w:rPr>
          <w:rFonts w:ascii="Arial" w:hAnsi="Arial" w:cs="Arial"/>
        </w:rPr>
        <w:t xml:space="preserve">. </w:t>
      </w:r>
      <w:r w:rsidRPr="000663CC">
        <w:rPr>
          <w:rFonts w:ascii="Arial" w:hAnsi="Arial" w:cs="Arial"/>
          <w:b w:val="0"/>
        </w:rPr>
        <w:t>Dynamisk tabel med data for 2</w:t>
      </w:r>
      <w:r w:rsidR="002252EC">
        <w:rPr>
          <w:rFonts w:ascii="Arial" w:hAnsi="Arial" w:cs="Arial"/>
          <w:b w:val="0"/>
        </w:rPr>
        <w:t>022</w:t>
      </w:r>
      <w:r w:rsidRPr="000663CC">
        <w:rPr>
          <w:rFonts w:ascii="Arial" w:hAnsi="Arial" w:cs="Arial"/>
          <w:b w:val="0"/>
        </w:rPr>
        <w:t xml:space="preserve"> nationalt og kommunalt over den reelle genanvendelse af MW og husholdningsaffald.</w:t>
      </w:r>
      <w:bookmarkStart w:id="8" w:name="_MON_1770210130"/>
      <w:bookmarkEnd w:id="8"/>
    </w:p>
    <w:bookmarkStart w:id="9" w:name="_MON_1780469025"/>
    <w:bookmarkEnd w:id="9"/>
    <w:p w14:paraId="6BDCC9A4" w14:textId="5B086484" w:rsidR="005C4459" w:rsidRPr="005C4459" w:rsidRDefault="009D428E" w:rsidP="00997C9A">
      <w:pPr>
        <w:rPr>
          <w:rFonts w:eastAsiaTheme="majorEastAsia"/>
        </w:rPr>
        <w:sectPr w:rsidR="005C4459" w:rsidRPr="005C4459" w:rsidSect="00FD2E0F">
          <w:pgSz w:w="16838" w:h="11906" w:orient="landscape" w:code="9"/>
          <w:pgMar w:top="1418" w:right="2041" w:bottom="1134" w:left="1701" w:header="459" w:footer="782" w:gutter="0"/>
          <w:cols w:space="708"/>
          <w:docGrid w:linePitch="360"/>
        </w:sectPr>
      </w:pPr>
      <w:r>
        <w:rPr>
          <w:rFonts w:eastAsiaTheme="majorEastAsia"/>
        </w:rPr>
        <w:object w:dxaOrig="17229" w:dyaOrig="9253" w14:anchorId="230BD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4.5pt;height:405.75pt" o:ole="">
            <v:imagedata r:id="rId19" o:title=""/>
          </v:shape>
          <o:OLEObject Type="Embed" ProgID="Excel.Sheet.12" ShapeID="_x0000_i1029" DrawAspect="Content" ObjectID="_1780834189" r:id="rId20"/>
        </w:object>
      </w:r>
    </w:p>
    <w:p w14:paraId="3B164528" w14:textId="45F5CB82" w:rsidR="005E2CC4" w:rsidRPr="008B1BF0" w:rsidRDefault="000C1569" w:rsidP="006D6AFC">
      <w:pPr>
        <w:pStyle w:val="Overskrift2"/>
        <w:rPr>
          <w:rFonts w:cs="Arial"/>
        </w:rPr>
      </w:pPr>
      <w:r w:rsidRPr="008B1BF0">
        <w:rPr>
          <w:rFonts w:cs="Arial"/>
        </w:rPr>
        <w:lastRenderedPageBreak/>
        <w:t xml:space="preserve">Forklaring </w:t>
      </w:r>
      <w:r w:rsidR="00B71F70" w:rsidRPr="008B1BF0">
        <w:rPr>
          <w:rFonts w:cs="Arial"/>
        </w:rPr>
        <w:t>af tabel</w:t>
      </w:r>
    </w:p>
    <w:p w14:paraId="1771EE36" w14:textId="3ADC8AEA" w:rsidR="00B71F70" w:rsidRPr="008B1BF0" w:rsidRDefault="00B71F70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A: </w:t>
      </w:r>
      <w:r w:rsidR="0058536B" w:rsidRPr="008B1BF0">
        <w:rPr>
          <w:rFonts w:ascii="Arial" w:hAnsi="Arial" w:cs="Arial"/>
        </w:rPr>
        <w:tab/>
      </w:r>
      <w:r w:rsidR="00514BCA" w:rsidRPr="008B1BF0">
        <w:rPr>
          <w:rFonts w:ascii="Arial" w:hAnsi="Arial" w:cs="Arial"/>
        </w:rPr>
        <w:t>Grupperinger af MW fraktioner</w:t>
      </w:r>
      <w:r w:rsidR="00F33FFD" w:rsidRPr="008B1BF0">
        <w:rPr>
          <w:rFonts w:ascii="Arial" w:hAnsi="Arial" w:cs="Arial"/>
        </w:rPr>
        <w:t xml:space="preserve"> (grøn)</w:t>
      </w:r>
      <w:r w:rsidR="00514BCA" w:rsidRPr="008B1BF0">
        <w:rPr>
          <w:rFonts w:ascii="Arial" w:hAnsi="Arial" w:cs="Arial"/>
        </w:rPr>
        <w:t xml:space="preserve">. Det fremgår af Bilag 7 i Affaldsstatistikken hvilke </w:t>
      </w:r>
      <w:r w:rsidR="00514BCA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514BCA" w:rsidRPr="008B1BF0">
        <w:rPr>
          <w:rFonts w:ascii="Arial" w:hAnsi="Arial" w:cs="Arial"/>
        </w:rPr>
        <w:t>koder grupperingerne dækker over.</w:t>
      </w:r>
    </w:p>
    <w:p w14:paraId="755B81C7" w14:textId="43800241" w:rsidR="00514BCA" w:rsidRPr="008B1BF0" w:rsidRDefault="00514BCA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>K</w:t>
      </w:r>
      <w:r w:rsidR="00003276" w:rsidRPr="008B1BF0">
        <w:rPr>
          <w:rFonts w:ascii="Arial" w:hAnsi="Arial" w:cs="Arial"/>
        </w:rPr>
        <w:t>olonne C</w:t>
      </w:r>
      <w:r w:rsidR="00F66408">
        <w:rPr>
          <w:rFonts w:ascii="Arial" w:hAnsi="Arial" w:cs="Arial"/>
        </w:rPr>
        <w:t xml:space="preserve">, </w:t>
      </w:r>
      <w:r w:rsidR="00003276" w:rsidRPr="008B1BF0">
        <w:rPr>
          <w:rFonts w:ascii="Arial" w:hAnsi="Arial" w:cs="Arial"/>
        </w:rPr>
        <w:t>D</w:t>
      </w:r>
      <w:r w:rsidR="00F66408">
        <w:rPr>
          <w:rFonts w:ascii="Arial" w:hAnsi="Arial" w:cs="Arial"/>
        </w:rPr>
        <w:t xml:space="preserve"> og E</w:t>
      </w:r>
      <w:r w:rsidRPr="008B1BF0">
        <w:rPr>
          <w:rFonts w:ascii="Arial" w:hAnsi="Arial" w:cs="Arial"/>
        </w:rPr>
        <w:t xml:space="preserve">: </w:t>
      </w:r>
      <w:r w:rsidR="0058536B" w:rsidRPr="008B1BF0">
        <w:rPr>
          <w:rFonts w:ascii="Arial" w:hAnsi="Arial" w:cs="Arial"/>
        </w:rPr>
        <w:tab/>
      </w:r>
      <w:r w:rsidRPr="008B1BF0">
        <w:rPr>
          <w:rFonts w:ascii="Arial" w:hAnsi="Arial" w:cs="Arial"/>
        </w:rPr>
        <w:t xml:space="preserve">Den totale </w:t>
      </w:r>
      <w:r w:rsidR="00592E57" w:rsidRPr="008B1BF0">
        <w:rPr>
          <w:rFonts w:ascii="Arial" w:hAnsi="Arial" w:cs="Arial"/>
        </w:rPr>
        <w:t xml:space="preserve">indsamlede primære </w:t>
      </w:r>
      <w:r w:rsidR="0032353E">
        <w:rPr>
          <w:rFonts w:ascii="Arial" w:hAnsi="Arial" w:cs="Arial"/>
        </w:rPr>
        <w:t>genererede affalds</w:t>
      </w:r>
      <w:r w:rsidR="0058536B" w:rsidRPr="008B1BF0">
        <w:rPr>
          <w:rFonts w:ascii="Arial" w:hAnsi="Arial" w:cs="Arial"/>
        </w:rPr>
        <w:t xml:space="preserve">mængde af </w:t>
      </w:r>
      <w:r w:rsidR="00475065" w:rsidRPr="008B1BF0">
        <w:rPr>
          <w:rFonts w:ascii="Arial" w:hAnsi="Arial" w:cs="Arial"/>
        </w:rPr>
        <w:t xml:space="preserve">hhv. </w:t>
      </w:r>
      <w:r w:rsidR="0058536B" w:rsidRPr="008B1BF0">
        <w:rPr>
          <w:rFonts w:ascii="Arial" w:hAnsi="Arial" w:cs="Arial"/>
        </w:rPr>
        <w:t>MW</w:t>
      </w:r>
      <w:r w:rsidR="00D74210" w:rsidRPr="008B1BF0">
        <w:rPr>
          <w:rFonts w:ascii="Arial" w:hAnsi="Arial" w:cs="Arial"/>
        </w:rPr>
        <w:t xml:space="preserve"> (</w:t>
      </w:r>
      <w:r w:rsidR="00F33FFD" w:rsidRPr="008B1BF0">
        <w:rPr>
          <w:rFonts w:ascii="Arial" w:hAnsi="Arial" w:cs="Arial"/>
        </w:rPr>
        <w:t>mellemgrøn</w:t>
      </w:r>
      <w:r w:rsidR="00D74210" w:rsidRPr="008B1BF0">
        <w:rPr>
          <w:rFonts w:ascii="Arial" w:hAnsi="Arial" w:cs="Arial"/>
        </w:rPr>
        <w:t>)</w:t>
      </w:r>
      <w:r w:rsidR="00475065" w:rsidRPr="008B1BF0">
        <w:rPr>
          <w:rFonts w:ascii="Arial" w:hAnsi="Arial" w:cs="Arial"/>
        </w:rPr>
        <w:t xml:space="preserve"> og husholdningsaffald</w:t>
      </w:r>
      <w:r w:rsidR="00592E57" w:rsidRPr="008B1BF0">
        <w:rPr>
          <w:rFonts w:ascii="Arial" w:hAnsi="Arial" w:cs="Arial"/>
        </w:rPr>
        <w:t xml:space="preserve"> i ton</w:t>
      </w:r>
      <w:r w:rsidR="00475065" w:rsidRPr="008B1BF0">
        <w:rPr>
          <w:rFonts w:ascii="Arial" w:hAnsi="Arial" w:cs="Arial"/>
        </w:rPr>
        <w:t xml:space="preserve"> (</w:t>
      </w:r>
      <w:r w:rsidR="00F33FFD" w:rsidRPr="008B1BF0">
        <w:rPr>
          <w:rFonts w:ascii="Arial" w:hAnsi="Arial" w:cs="Arial"/>
        </w:rPr>
        <w:t>lysegrøn</w:t>
      </w:r>
      <w:r w:rsidR="00D74210" w:rsidRPr="008B1BF0">
        <w:rPr>
          <w:rFonts w:ascii="Arial" w:hAnsi="Arial" w:cs="Arial"/>
        </w:rPr>
        <w:t>)</w:t>
      </w:r>
      <w:r w:rsidR="0058536B" w:rsidRPr="008B1BF0">
        <w:rPr>
          <w:rFonts w:ascii="Arial" w:hAnsi="Arial" w:cs="Arial"/>
        </w:rPr>
        <w:t>. Det dækker over affald til alle behandlinger.</w:t>
      </w:r>
      <w:r w:rsidR="00653155" w:rsidRPr="008B1BF0">
        <w:rPr>
          <w:rFonts w:ascii="Arial" w:hAnsi="Arial" w:cs="Arial"/>
        </w:rPr>
        <w:t xml:space="preserve"> Trukket ud på baggrund af </w:t>
      </w:r>
      <w:r w:rsidR="00653155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653155" w:rsidRPr="008B1BF0">
        <w:rPr>
          <w:rFonts w:ascii="Arial" w:hAnsi="Arial" w:cs="Arial"/>
        </w:rPr>
        <w:t>koder.</w:t>
      </w:r>
    </w:p>
    <w:p w14:paraId="2D10E879" w14:textId="6618A2D1" w:rsidR="0058536B" w:rsidRPr="008B1BF0" w:rsidRDefault="0058536B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G, H o</w:t>
      </w:r>
      <w:r w:rsidR="00D74210" w:rsidRPr="008B1BF0">
        <w:rPr>
          <w:rFonts w:ascii="Arial" w:hAnsi="Arial" w:cs="Arial"/>
        </w:rPr>
        <w:t xml:space="preserve">g </w:t>
      </w:r>
      <w:r w:rsidR="00F66408">
        <w:rPr>
          <w:rFonts w:ascii="Arial" w:hAnsi="Arial" w:cs="Arial"/>
        </w:rPr>
        <w:t>I</w:t>
      </w:r>
      <w:r w:rsidRPr="008B1BF0">
        <w:rPr>
          <w:rFonts w:ascii="Arial" w:hAnsi="Arial" w:cs="Arial"/>
        </w:rPr>
        <w:t xml:space="preserve">: </w:t>
      </w:r>
      <w:r w:rsidRPr="008B1BF0">
        <w:rPr>
          <w:rFonts w:ascii="Arial" w:hAnsi="Arial" w:cs="Arial"/>
        </w:rPr>
        <w:tab/>
      </w:r>
      <w:r w:rsidR="00040ECD" w:rsidRPr="008B1BF0">
        <w:rPr>
          <w:rFonts w:ascii="Arial" w:hAnsi="Arial" w:cs="Arial"/>
        </w:rPr>
        <w:t>Mængden af affald indsamlet til genanvendelse</w:t>
      </w:r>
      <w:r w:rsidR="00D74210" w:rsidRPr="008B1BF0">
        <w:rPr>
          <w:rFonts w:ascii="Arial" w:hAnsi="Arial" w:cs="Arial"/>
        </w:rPr>
        <w:t>, i ton, af hhv. MW (</w:t>
      </w:r>
      <w:r w:rsidR="00F33FFD" w:rsidRPr="008B1BF0">
        <w:rPr>
          <w:rFonts w:ascii="Arial" w:hAnsi="Arial" w:cs="Arial"/>
        </w:rPr>
        <w:t>mellemgrøn</w:t>
      </w:r>
      <w:r w:rsidR="00D74210" w:rsidRPr="008B1BF0">
        <w:rPr>
          <w:rFonts w:ascii="Arial" w:hAnsi="Arial" w:cs="Arial"/>
        </w:rPr>
        <w:t>) og husholdningsaffald (</w:t>
      </w:r>
      <w:r w:rsidR="00F33FFD" w:rsidRPr="008B1BF0">
        <w:rPr>
          <w:rFonts w:ascii="Arial" w:hAnsi="Arial" w:cs="Arial"/>
        </w:rPr>
        <w:t>lysegrøn</w:t>
      </w:r>
      <w:r w:rsidR="00D74210" w:rsidRPr="008B1BF0">
        <w:rPr>
          <w:rFonts w:ascii="Arial" w:hAnsi="Arial" w:cs="Arial"/>
        </w:rPr>
        <w:t>)</w:t>
      </w:r>
      <w:r w:rsidR="00040ECD" w:rsidRPr="008B1BF0">
        <w:rPr>
          <w:rFonts w:ascii="Arial" w:hAnsi="Arial" w:cs="Arial"/>
        </w:rPr>
        <w:t xml:space="preserve">. </w:t>
      </w:r>
      <w:r w:rsidR="00653155" w:rsidRPr="008B1BF0">
        <w:rPr>
          <w:rFonts w:ascii="Arial" w:hAnsi="Arial" w:cs="Arial"/>
        </w:rPr>
        <w:t>Trukket ud</w:t>
      </w:r>
      <w:r w:rsidR="00040ECD" w:rsidRPr="008B1BF0">
        <w:rPr>
          <w:rFonts w:ascii="Arial" w:hAnsi="Arial" w:cs="Arial"/>
        </w:rPr>
        <w:t xml:space="preserve"> </w:t>
      </w:r>
      <w:r w:rsidR="00653155" w:rsidRPr="008B1BF0">
        <w:rPr>
          <w:rFonts w:ascii="Arial" w:hAnsi="Arial" w:cs="Arial"/>
        </w:rPr>
        <w:t xml:space="preserve">på baggrund af </w:t>
      </w:r>
      <w:r w:rsidR="00653155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653155" w:rsidRPr="008B1BF0">
        <w:rPr>
          <w:rFonts w:ascii="Arial" w:hAnsi="Arial" w:cs="Arial"/>
        </w:rPr>
        <w:t>koder.</w:t>
      </w:r>
    </w:p>
    <w:p w14:paraId="03A08247" w14:textId="354974BC" w:rsidR="00653155" w:rsidRPr="008B1BF0" w:rsidRDefault="00003276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K</w:t>
      </w:r>
      <w:r w:rsidR="00653155" w:rsidRPr="008B1BF0">
        <w:rPr>
          <w:rFonts w:ascii="Arial" w:hAnsi="Arial" w:cs="Arial"/>
        </w:rPr>
        <w:t xml:space="preserve">: </w:t>
      </w:r>
      <w:r w:rsidR="00653155" w:rsidRPr="008B1BF0">
        <w:rPr>
          <w:rFonts w:ascii="Arial" w:hAnsi="Arial" w:cs="Arial"/>
        </w:rPr>
        <w:tab/>
      </w:r>
      <w:r w:rsidR="00F63FE6" w:rsidRPr="008B1BF0">
        <w:rPr>
          <w:rFonts w:ascii="Arial" w:hAnsi="Arial" w:cs="Arial"/>
        </w:rPr>
        <w:t>Resultater fra modellen af estimere</w:t>
      </w:r>
      <w:r w:rsidR="004A4E41" w:rsidRPr="008B1BF0">
        <w:rPr>
          <w:rFonts w:ascii="Arial" w:hAnsi="Arial" w:cs="Arial"/>
        </w:rPr>
        <w:t>de</w:t>
      </w:r>
      <w:r w:rsidR="00F63FE6" w:rsidRPr="008B1BF0">
        <w:rPr>
          <w:rFonts w:ascii="Arial" w:hAnsi="Arial" w:cs="Arial"/>
        </w:rPr>
        <w:t xml:space="preserve"> procentsatser på landsplan </w:t>
      </w:r>
      <w:r w:rsidR="00F33FFD" w:rsidRPr="008B1BF0">
        <w:rPr>
          <w:rFonts w:ascii="Arial" w:hAnsi="Arial" w:cs="Arial"/>
        </w:rPr>
        <w:t xml:space="preserve">(grøn) </w:t>
      </w:r>
      <w:r w:rsidR="00F63FE6" w:rsidRPr="008B1BF0">
        <w:rPr>
          <w:rFonts w:ascii="Arial" w:hAnsi="Arial" w:cs="Arial"/>
        </w:rPr>
        <w:t>for, hvor meget der er slutbehandlet til genanvendelse som andel af</w:t>
      </w:r>
      <w:r w:rsidR="004A4E41" w:rsidRPr="008B1BF0">
        <w:rPr>
          <w:rFonts w:ascii="Arial" w:hAnsi="Arial" w:cs="Arial"/>
        </w:rPr>
        <w:t xml:space="preserve"> MW</w:t>
      </w:r>
      <w:r w:rsidR="00F63FE6" w:rsidRPr="008B1BF0">
        <w:rPr>
          <w:rFonts w:ascii="Arial" w:hAnsi="Arial" w:cs="Arial"/>
        </w:rPr>
        <w:t xml:space="preserve"> fraktionen</w:t>
      </w:r>
      <w:r w:rsidR="004A4E41" w:rsidRPr="008B1BF0">
        <w:rPr>
          <w:rFonts w:ascii="Arial" w:hAnsi="Arial" w:cs="Arial"/>
        </w:rPr>
        <w:t>.</w:t>
      </w:r>
      <w:r w:rsidR="008C06AA" w:rsidRPr="008B1BF0">
        <w:rPr>
          <w:rFonts w:ascii="Arial" w:hAnsi="Arial" w:cs="Arial"/>
        </w:rPr>
        <w:t xml:space="preserve"> Værdierne er beregnet på baggrund af </w:t>
      </w:r>
      <w:r w:rsidR="008C06AA" w:rsidRPr="008B1BF0">
        <w:rPr>
          <w:rFonts w:ascii="Arial" w:hAnsi="Arial" w:cs="Arial"/>
          <w:i/>
        </w:rPr>
        <w:t>H/E</w:t>
      </w:r>
      <w:r w:rsidR="00E708CA">
        <w:rPr>
          <w:rFonts w:ascii="Arial" w:hAnsi="Arial" w:cs="Arial"/>
        </w:rPr>
        <w:t>-</w:t>
      </w:r>
      <w:r w:rsidR="008C06AA" w:rsidRPr="008B1BF0">
        <w:rPr>
          <w:rFonts w:ascii="Arial" w:hAnsi="Arial" w:cs="Arial"/>
        </w:rPr>
        <w:t>koder.</w:t>
      </w:r>
    </w:p>
    <w:p w14:paraId="48FC73AD" w14:textId="4E0A1879" w:rsidR="008B54BB" w:rsidRPr="008B1BF0" w:rsidRDefault="004A4E41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M, N</w:t>
      </w:r>
      <w:r w:rsidRPr="008B1BF0">
        <w:rPr>
          <w:rFonts w:ascii="Arial" w:hAnsi="Arial" w:cs="Arial"/>
        </w:rPr>
        <w:t xml:space="preserve"> og </w:t>
      </w:r>
      <w:r w:rsidR="00F66408">
        <w:rPr>
          <w:rFonts w:ascii="Arial" w:hAnsi="Arial" w:cs="Arial"/>
        </w:rPr>
        <w:t>O</w:t>
      </w:r>
      <w:r w:rsidRPr="008B1BF0">
        <w:rPr>
          <w:rFonts w:ascii="Arial" w:hAnsi="Arial" w:cs="Arial"/>
        </w:rPr>
        <w:t xml:space="preserve">: </w:t>
      </w:r>
      <w:r w:rsidRPr="008B1BF0">
        <w:rPr>
          <w:rFonts w:ascii="Arial" w:hAnsi="Arial" w:cs="Arial"/>
        </w:rPr>
        <w:tab/>
      </w:r>
      <w:r w:rsidR="008415F4" w:rsidRPr="008B1BF0">
        <w:rPr>
          <w:rFonts w:ascii="Arial" w:hAnsi="Arial" w:cs="Arial"/>
        </w:rPr>
        <w:t xml:space="preserve">Mængden </w:t>
      </w:r>
      <w:r w:rsidR="008C06AA" w:rsidRPr="008B1BF0">
        <w:rPr>
          <w:rFonts w:ascii="Arial" w:hAnsi="Arial" w:cs="Arial"/>
        </w:rPr>
        <w:t>der er reelt genanvendt</w:t>
      </w:r>
      <w:r w:rsidR="00677C82" w:rsidRPr="008B1BF0">
        <w:rPr>
          <w:rFonts w:ascii="Arial" w:hAnsi="Arial" w:cs="Arial"/>
        </w:rPr>
        <w:t>, i ton, af hhv. MW (</w:t>
      </w:r>
      <w:r w:rsidR="00F33FFD" w:rsidRPr="008B1BF0">
        <w:rPr>
          <w:rFonts w:ascii="Arial" w:hAnsi="Arial" w:cs="Arial"/>
        </w:rPr>
        <w:t>mellemgrøn</w:t>
      </w:r>
      <w:r w:rsidR="00677C82" w:rsidRPr="008B1BF0">
        <w:rPr>
          <w:rFonts w:ascii="Arial" w:hAnsi="Arial" w:cs="Arial"/>
        </w:rPr>
        <w:t>) og husholdningsaffald (</w:t>
      </w:r>
      <w:r w:rsidR="00F33FFD" w:rsidRPr="008B1BF0">
        <w:rPr>
          <w:rFonts w:ascii="Arial" w:hAnsi="Arial" w:cs="Arial"/>
        </w:rPr>
        <w:t>lysegrøn</w:t>
      </w:r>
      <w:r w:rsidR="00677C82" w:rsidRPr="008B1BF0">
        <w:rPr>
          <w:rFonts w:ascii="Arial" w:hAnsi="Arial" w:cs="Arial"/>
        </w:rPr>
        <w:t xml:space="preserve">). Resultat af at multiplicere hhv. kolonne </w:t>
      </w:r>
      <w:r w:rsidR="0032353E">
        <w:rPr>
          <w:rFonts w:ascii="Arial" w:hAnsi="Arial" w:cs="Arial"/>
        </w:rPr>
        <w:t>G</w:t>
      </w:r>
      <w:r w:rsidR="007B60CA" w:rsidRPr="008B1BF0">
        <w:rPr>
          <w:rFonts w:ascii="Arial" w:hAnsi="Arial" w:cs="Arial"/>
        </w:rPr>
        <w:t xml:space="preserve"> og </w:t>
      </w:r>
      <w:r w:rsidR="0032353E">
        <w:rPr>
          <w:rFonts w:ascii="Arial" w:hAnsi="Arial" w:cs="Arial"/>
        </w:rPr>
        <w:t>K, H og K</w:t>
      </w:r>
      <w:r w:rsidR="007B60CA" w:rsidRPr="008B1BF0">
        <w:rPr>
          <w:rFonts w:ascii="Arial" w:hAnsi="Arial" w:cs="Arial"/>
        </w:rPr>
        <w:t xml:space="preserve"> samt kolonne </w:t>
      </w:r>
      <w:r w:rsidR="0032353E">
        <w:rPr>
          <w:rFonts w:ascii="Arial" w:hAnsi="Arial" w:cs="Arial"/>
        </w:rPr>
        <w:t>I</w:t>
      </w:r>
      <w:r w:rsidR="007B60CA" w:rsidRPr="008B1BF0">
        <w:rPr>
          <w:rFonts w:ascii="Arial" w:hAnsi="Arial" w:cs="Arial"/>
        </w:rPr>
        <w:t xml:space="preserve"> og </w:t>
      </w:r>
      <w:r w:rsidR="0032353E">
        <w:rPr>
          <w:rFonts w:ascii="Arial" w:hAnsi="Arial" w:cs="Arial"/>
        </w:rPr>
        <w:t>K</w:t>
      </w:r>
      <w:r w:rsidR="007B60CA" w:rsidRPr="008B1BF0">
        <w:rPr>
          <w:rFonts w:ascii="Arial" w:hAnsi="Arial" w:cs="Arial"/>
        </w:rPr>
        <w:t xml:space="preserve">. </w:t>
      </w:r>
      <w:r w:rsidR="008B54BB" w:rsidRPr="008B1BF0">
        <w:rPr>
          <w:rFonts w:ascii="Arial" w:hAnsi="Arial" w:cs="Arial"/>
        </w:rPr>
        <w:t xml:space="preserve">Den totale reelle genanvendelse i % af alt MW i celle </w:t>
      </w:r>
      <w:r w:rsidR="0032353E">
        <w:rPr>
          <w:rFonts w:ascii="Arial" w:hAnsi="Arial" w:cs="Arial"/>
        </w:rPr>
        <w:t>M</w:t>
      </w:r>
      <w:r w:rsidR="008B7F3A" w:rsidRPr="008B1BF0">
        <w:rPr>
          <w:rFonts w:ascii="Arial" w:hAnsi="Arial" w:cs="Arial"/>
        </w:rPr>
        <w:t>2</w:t>
      </w:r>
      <w:r w:rsidR="009E512E">
        <w:rPr>
          <w:rFonts w:ascii="Arial" w:hAnsi="Arial" w:cs="Arial"/>
        </w:rPr>
        <w:t>4</w:t>
      </w:r>
      <w:r w:rsidR="007B60CA" w:rsidRPr="008B1BF0">
        <w:rPr>
          <w:rFonts w:ascii="Arial" w:hAnsi="Arial" w:cs="Arial"/>
        </w:rPr>
        <w:t xml:space="preserve"> og </w:t>
      </w:r>
      <w:r w:rsidR="00955096" w:rsidRPr="008B1BF0">
        <w:rPr>
          <w:rFonts w:ascii="Arial" w:hAnsi="Arial" w:cs="Arial"/>
        </w:rPr>
        <w:t xml:space="preserve">af </w:t>
      </w:r>
      <w:r w:rsidR="003B5CB8" w:rsidRPr="008B1BF0">
        <w:rPr>
          <w:rFonts w:ascii="Arial" w:hAnsi="Arial" w:cs="Arial"/>
        </w:rPr>
        <w:t>alt</w:t>
      </w:r>
      <w:r w:rsidR="007B60CA" w:rsidRPr="008B1BF0">
        <w:rPr>
          <w:rFonts w:ascii="Arial" w:hAnsi="Arial" w:cs="Arial"/>
        </w:rPr>
        <w:t xml:space="preserve"> husholdningsaffald i celle</w:t>
      </w:r>
      <w:r w:rsidR="0032353E">
        <w:rPr>
          <w:rFonts w:ascii="Arial" w:hAnsi="Arial" w:cs="Arial"/>
        </w:rPr>
        <w:t>rne</w:t>
      </w:r>
      <w:r w:rsidR="007B60CA" w:rsidRPr="008B1BF0">
        <w:rPr>
          <w:rFonts w:ascii="Arial" w:hAnsi="Arial" w:cs="Arial"/>
        </w:rPr>
        <w:t xml:space="preserve"> </w:t>
      </w:r>
      <w:r w:rsidR="0032353E">
        <w:rPr>
          <w:rFonts w:ascii="Arial" w:hAnsi="Arial" w:cs="Arial"/>
        </w:rPr>
        <w:t>N</w:t>
      </w:r>
      <w:r w:rsidR="008B7F3A" w:rsidRPr="008B1BF0">
        <w:rPr>
          <w:rFonts w:ascii="Arial" w:hAnsi="Arial" w:cs="Arial"/>
        </w:rPr>
        <w:t>2</w:t>
      </w:r>
      <w:r w:rsidR="009E512E">
        <w:rPr>
          <w:rFonts w:ascii="Arial" w:hAnsi="Arial" w:cs="Arial"/>
        </w:rPr>
        <w:t>4</w:t>
      </w:r>
      <w:r w:rsidR="0032353E">
        <w:rPr>
          <w:rFonts w:ascii="Arial" w:hAnsi="Arial" w:cs="Arial"/>
        </w:rPr>
        <w:t xml:space="preserve"> og O24</w:t>
      </w:r>
      <w:r w:rsidR="009E512E">
        <w:rPr>
          <w:rFonts w:ascii="Arial" w:hAnsi="Arial" w:cs="Arial"/>
        </w:rPr>
        <w:t>.</w:t>
      </w:r>
      <w:r w:rsidR="007B60CA" w:rsidRPr="008B1BF0">
        <w:rPr>
          <w:rFonts w:ascii="Arial" w:hAnsi="Arial" w:cs="Arial"/>
        </w:rPr>
        <w:t xml:space="preserve"> </w:t>
      </w:r>
    </w:p>
    <w:p w14:paraId="427C6A44" w14:textId="77777777" w:rsidR="00B04D39" w:rsidRPr="008B1BF0" w:rsidRDefault="00B04D39" w:rsidP="005E2CC4">
      <w:pPr>
        <w:rPr>
          <w:rFonts w:ascii="Arial" w:hAnsi="Arial" w:cs="Arial"/>
        </w:rPr>
      </w:pPr>
    </w:p>
    <w:p w14:paraId="00FCE624" w14:textId="012AC3CD" w:rsidR="00496330" w:rsidRPr="008B1BF0" w:rsidRDefault="008B54BB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Det er ikke muligt at </w:t>
      </w:r>
      <w:r w:rsidR="005E2CC4" w:rsidRPr="008B1BF0">
        <w:rPr>
          <w:rFonts w:ascii="Arial" w:hAnsi="Arial" w:cs="Arial"/>
        </w:rPr>
        <w:t xml:space="preserve">aflæse den reelle </w:t>
      </w:r>
      <w:r w:rsidR="00B04D39" w:rsidRPr="008B1BF0">
        <w:rPr>
          <w:rFonts w:ascii="Arial" w:hAnsi="Arial" w:cs="Arial"/>
        </w:rPr>
        <w:t xml:space="preserve">genanvendelse i % </w:t>
      </w:r>
      <w:r w:rsidR="005E2CC4" w:rsidRPr="008B1BF0">
        <w:rPr>
          <w:rFonts w:ascii="Arial" w:hAnsi="Arial" w:cs="Arial"/>
        </w:rPr>
        <w:t xml:space="preserve">på fraktionsniveau, </w:t>
      </w:r>
      <w:r w:rsidRPr="008B1BF0">
        <w:rPr>
          <w:rFonts w:ascii="Arial" w:hAnsi="Arial" w:cs="Arial"/>
        </w:rPr>
        <w:t xml:space="preserve">idet der i ADS data ikke findes data om indholdet af fraktioner i </w:t>
      </w:r>
      <w:r w:rsidR="00D42D6C" w:rsidRPr="008B1BF0">
        <w:rPr>
          <w:rFonts w:ascii="Arial" w:hAnsi="Arial" w:cs="Arial"/>
        </w:rPr>
        <w:t>restaffaldet</w:t>
      </w:r>
      <w:r w:rsidR="009058B6" w:rsidRPr="008B1BF0">
        <w:rPr>
          <w:rFonts w:ascii="Arial" w:hAnsi="Arial" w:cs="Arial"/>
        </w:rPr>
        <w:t xml:space="preserve"> (værdierne i kolonne </w:t>
      </w:r>
      <w:r w:rsidR="008B6F11" w:rsidRPr="008B1BF0">
        <w:rPr>
          <w:rFonts w:ascii="Arial" w:hAnsi="Arial" w:cs="Arial"/>
        </w:rPr>
        <w:t>C</w:t>
      </w:r>
      <w:r w:rsidR="009058B6" w:rsidRPr="008B1BF0">
        <w:rPr>
          <w:rFonts w:ascii="Arial" w:hAnsi="Arial" w:cs="Arial"/>
        </w:rPr>
        <w:t xml:space="preserve"> og </w:t>
      </w:r>
      <w:r w:rsidR="008B6F11" w:rsidRPr="008B1BF0">
        <w:rPr>
          <w:rFonts w:ascii="Arial" w:hAnsi="Arial" w:cs="Arial"/>
        </w:rPr>
        <w:t>D</w:t>
      </w:r>
      <w:r w:rsidR="009058B6" w:rsidRPr="008B1BF0">
        <w:rPr>
          <w:rFonts w:ascii="Arial" w:hAnsi="Arial" w:cs="Arial"/>
        </w:rPr>
        <w:t>).</w:t>
      </w:r>
    </w:p>
    <w:p w14:paraId="342187C7" w14:textId="640009E1" w:rsidR="00BD5427" w:rsidRPr="008B1BF0" w:rsidRDefault="00741B6C" w:rsidP="006D6AFC">
      <w:pPr>
        <w:pStyle w:val="Overskrift1"/>
      </w:pPr>
      <w:r w:rsidRPr="008B1BF0">
        <w:t xml:space="preserve">Fejl </w:t>
      </w:r>
      <w:r w:rsidR="00BD5427" w:rsidRPr="008B1BF0">
        <w:t xml:space="preserve">i den kommunale </w:t>
      </w:r>
      <w:r w:rsidR="009F578C" w:rsidRPr="008B1BF0">
        <w:t>reelle</w:t>
      </w:r>
      <w:r w:rsidR="00BD5427" w:rsidRPr="008B1BF0">
        <w:t xml:space="preserve"> genanvendelse </w:t>
      </w:r>
    </w:p>
    <w:p w14:paraId="3A15F590" w14:textId="3B609113" w:rsidR="00AD4D59" w:rsidRPr="008B1BF0" w:rsidRDefault="004E676F" w:rsidP="00A91042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Mener du</w:t>
      </w:r>
      <w:r w:rsidR="00180AD0" w:rsidRPr="008B1BF0">
        <w:rPr>
          <w:rFonts w:ascii="Arial" w:hAnsi="Arial" w:cs="Arial"/>
          <w:szCs w:val="22"/>
        </w:rPr>
        <w:t>,</w:t>
      </w:r>
      <w:r w:rsidRPr="008B1BF0">
        <w:rPr>
          <w:rFonts w:ascii="Arial" w:hAnsi="Arial" w:cs="Arial"/>
          <w:szCs w:val="22"/>
        </w:rPr>
        <w:t xml:space="preserve"> at der er fejl i datagrundlaget</w:t>
      </w:r>
      <w:r w:rsidR="002418BA" w:rsidRPr="008B1BF0">
        <w:rPr>
          <w:rFonts w:ascii="Arial" w:hAnsi="Arial" w:cs="Arial"/>
          <w:szCs w:val="22"/>
        </w:rPr>
        <w:t>, altså de primære affaldsmængder</w:t>
      </w:r>
      <w:r w:rsidR="008B6F11" w:rsidRPr="008B1BF0">
        <w:rPr>
          <w:rFonts w:ascii="Arial" w:hAnsi="Arial" w:cs="Arial"/>
          <w:szCs w:val="22"/>
        </w:rPr>
        <w:t xml:space="preserve"> (kolo</w:t>
      </w:r>
      <w:r w:rsidR="00372137" w:rsidRPr="008B1BF0">
        <w:rPr>
          <w:rFonts w:ascii="Arial" w:hAnsi="Arial" w:cs="Arial"/>
          <w:szCs w:val="22"/>
        </w:rPr>
        <w:t>n</w:t>
      </w:r>
      <w:r w:rsidR="008B6F11" w:rsidRPr="008B1BF0">
        <w:rPr>
          <w:rFonts w:ascii="Arial" w:hAnsi="Arial" w:cs="Arial"/>
          <w:szCs w:val="22"/>
        </w:rPr>
        <w:t>ne C, D, F og G)</w:t>
      </w:r>
      <w:r w:rsidRPr="008B1BF0">
        <w:rPr>
          <w:rFonts w:ascii="Arial" w:hAnsi="Arial" w:cs="Arial"/>
          <w:szCs w:val="22"/>
        </w:rPr>
        <w:t xml:space="preserve"> i tabellen, så kan du igennem </w:t>
      </w:r>
      <w:hyperlink r:id="rId21" w:history="1">
        <w:r w:rsidR="00F5282D" w:rsidRPr="008B1BF0">
          <w:rPr>
            <w:rStyle w:val="Hyperlink"/>
            <w:rFonts w:ascii="Arial" w:hAnsi="Arial" w:cs="Arial"/>
            <w:szCs w:val="22"/>
          </w:rPr>
          <w:t>ADS portalen</w:t>
        </w:r>
      </w:hyperlink>
      <w:r w:rsidR="00F5282D" w:rsidRPr="008B1BF0">
        <w:rPr>
          <w:rFonts w:ascii="Arial" w:hAnsi="Arial" w:cs="Arial"/>
          <w:szCs w:val="22"/>
        </w:rPr>
        <w:t xml:space="preserve"> tilgå</w:t>
      </w:r>
      <w:r w:rsidR="00B56AAF" w:rsidRPr="008B1BF0">
        <w:rPr>
          <w:rFonts w:ascii="Arial" w:hAnsi="Arial" w:cs="Arial"/>
          <w:szCs w:val="22"/>
        </w:rPr>
        <w:t xml:space="preserve"> og rette</w:t>
      </w:r>
      <w:r w:rsidR="00B152B9" w:rsidRPr="008B1BF0">
        <w:rPr>
          <w:rFonts w:ascii="Arial" w:hAnsi="Arial" w:cs="Arial"/>
          <w:szCs w:val="22"/>
        </w:rPr>
        <w:t xml:space="preserve"> detaljerede data </w:t>
      </w:r>
      <w:r w:rsidR="003C4116" w:rsidRPr="008B1BF0">
        <w:rPr>
          <w:rFonts w:ascii="Arial" w:hAnsi="Arial" w:cs="Arial"/>
          <w:szCs w:val="22"/>
        </w:rPr>
        <w:t xml:space="preserve">(dataudtræk med affaldsproducent og ADS-indberetter f.eks.) </w:t>
      </w:r>
      <w:r w:rsidR="00B152B9" w:rsidRPr="008B1BF0">
        <w:rPr>
          <w:rFonts w:ascii="Arial" w:hAnsi="Arial" w:cs="Arial"/>
          <w:szCs w:val="22"/>
        </w:rPr>
        <w:t>om indberetningerne</w:t>
      </w:r>
      <w:r w:rsidR="00FB5FA5" w:rsidRPr="008B1BF0">
        <w:rPr>
          <w:rFonts w:ascii="Arial" w:hAnsi="Arial" w:cs="Arial"/>
          <w:szCs w:val="22"/>
        </w:rPr>
        <w:t xml:space="preserve">. Her kan du bl.a. </w:t>
      </w:r>
    </w:p>
    <w:p w14:paraId="279EA762" w14:textId="77777777" w:rsidR="00092500" w:rsidRPr="008B1BF0" w:rsidRDefault="00FB5FA5" w:rsidP="004C0DD8">
      <w:pPr>
        <w:pStyle w:val="Listeafsnit"/>
        <w:numPr>
          <w:ilvl w:val="0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udtrække rapporter</w:t>
      </w:r>
      <w:r w:rsidR="004C0DD8" w:rsidRPr="008B1BF0">
        <w:rPr>
          <w:rFonts w:ascii="Arial" w:hAnsi="Arial" w:cs="Arial"/>
          <w:szCs w:val="22"/>
        </w:rPr>
        <w:t xml:space="preserve">, særligt </w:t>
      </w:r>
    </w:p>
    <w:p w14:paraId="119778C4" w14:textId="6E09589D" w:rsidR="00A91042" w:rsidRPr="008B1BF0" w:rsidRDefault="004C0DD8" w:rsidP="00092500">
      <w:pPr>
        <w:pStyle w:val="Listeafsnit"/>
        <w:numPr>
          <w:ilvl w:val="1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Rådata – Kommune (R030) hvor der i rolle vælges ”Producent”</w:t>
      </w:r>
      <w:r w:rsidR="00092500" w:rsidRPr="008B1BF0">
        <w:rPr>
          <w:rFonts w:ascii="Arial" w:hAnsi="Arial" w:cs="Arial"/>
          <w:szCs w:val="22"/>
        </w:rPr>
        <w:t xml:space="preserve">. Vær opmærksom på at rapporten dækker </w:t>
      </w:r>
      <w:r w:rsidR="003C4116" w:rsidRPr="008B1BF0">
        <w:rPr>
          <w:rFonts w:ascii="Arial" w:hAnsi="Arial" w:cs="Arial"/>
          <w:szCs w:val="22"/>
        </w:rPr>
        <w:t xml:space="preserve">over mere </w:t>
      </w:r>
      <w:r w:rsidR="00092500" w:rsidRPr="008B1BF0">
        <w:rPr>
          <w:rFonts w:ascii="Arial" w:hAnsi="Arial" w:cs="Arial"/>
          <w:szCs w:val="22"/>
        </w:rPr>
        <w:t>affald end MW.</w:t>
      </w:r>
    </w:p>
    <w:p w14:paraId="35149972" w14:textId="52F9FB9B" w:rsidR="00092500" w:rsidRPr="008B1BF0" w:rsidRDefault="00092500" w:rsidP="00092500">
      <w:pPr>
        <w:pStyle w:val="Listeafsnit"/>
        <w:numPr>
          <w:ilvl w:val="1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Rådata – Affaldsstatistikken, fanen ”Municipal waste – Primær mængde”</w:t>
      </w:r>
    </w:p>
    <w:p w14:paraId="151929B4" w14:textId="670FD12B" w:rsidR="00B06E7B" w:rsidRPr="008B1BF0" w:rsidRDefault="00A91042" w:rsidP="00CD0A20">
      <w:pPr>
        <w:pStyle w:val="Listeafsnit"/>
        <w:numPr>
          <w:ilvl w:val="0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tilrette indberetninger</w:t>
      </w:r>
      <w:r w:rsidR="002418BA" w:rsidRPr="008B1BF0">
        <w:rPr>
          <w:rFonts w:ascii="Arial" w:hAnsi="Arial" w:cs="Arial"/>
          <w:szCs w:val="22"/>
        </w:rPr>
        <w:t xml:space="preserve"> eller rette henvendelse til ADS teamet</w:t>
      </w:r>
      <w:r w:rsidR="00614F49" w:rsidRPr="008B1BF0">
        <w:rPr>
          <w:rStyle w:val="Fodnotehenvisning"/>
          <w:rFonts w:cs="Arial"/>
          <w:szCs w:val="22"/>
        </w:rPr>
        <w:footnoteReference w:id="9"/>
      </w:r>
    </w:p>
    <w:p w14:paraId="64D84D4A" w14:textId="77777777" w:rsidR="00496330" w:rsidRPr="009A34B7" w:rsidRDefault="00496330" w:rsidP="006D6AFC">
      <w:pPr>
        <w:rPr>
          <w:szCs w:val="22"/>
        </w:rPr>
      </w:pPr>
    </w:p>
    <w:p w14:paraId="1D14A0A1" w14:textId="705D9092" w:rsidR="00496330" w:rsidRPr="008B0293" w:rsidRDefault="00496330" w:rsidP="006D6AFC">
      <w:pPr>
        <w:pStyle w:val="Billedtekst"/>
        <w:keepNext/>
        <w:rPr>
          <w:rFonts w:ascii="Arial" w:hAnsi="Arial" w:cs="Arial"/>
        </w:rPr>
      </w:pPr>
      <w:bookmarkStart w:id="10" w:name="_Ref158379129"/>
      <w:r w:rsidRPr="008B0293">
        <w:rPr>
          <w:rFonts w:ascii="Arial" w:hAnsi="Arial" w:cs="Arial"/>
        </w:rPr>
        <w:t xml:space="preserve">Tabel </w:t>
      </w:r>
      <w:r w:rsidR="00EF0127" w:rsidRPr="008B0293">
        <w:rPr>
          <w:rFonts w:ascii="Arial" w:hAnsi="Arial" w:cs="Arial"/>
        </w:rPr>
        <w:fldChar w:fldCharType="begin"/>
      </w:r>
      <w:r w:rsidR="00EF0127" w:rsidRPr="008B0293">
        <w:rPr>
          <w:rFonts w:ascii="Arial" w:hAnsi="Arial" w:cs="Arial"/>
        </w:rPr>
        <w:instrText xml:space="preserve"> SEQ Tabel \* ARABIC </w:instrText>
      </w:r>
      <w:r w:rsidR="00EF0127" w:rsidRPr="008B0293">
        <w:rPr>
          <w:rFonts w:ascii="Arial" w:hAnsi="Arial" w:cs="Arial"/>
        </w:rPr>
        <w:fldChar w:fldCharType="separate"/>
      </w:r>
      <w:r w:rsidR="00EE4DEB" w:rsidRPr="008B0293">
        <w:rPr>
          <w:rFonts w:ascii="Arial" w:hAnsi="Arial" w:cs="Arial"/>
          <w:noProof/>
        </w:rPr>
        <w:t>4</w:t>
      </w:r>
      <w:r w:rsidR="00EF0127" w:rsidRPr="008B0293">
        <w:rPr>
          <w:rFonts w:ascii="Arial" w:hAnsi="Arial" w:cs="Arial"/>
          <w:noProof/>
        </w:rPr>
        <w:fldChar w:fldCharType="end"/>
      </w:r>
      <w:bookmarkEnd w:id="10"/>
      <w:r w:rsidRPr="008B0293">
        <w:rPr>
          <w:rFonts w:ascii="Arial" w:hAnsi="Arial" w:cs="Arial"/>
        </w:rPr>
        <w:t xml:space="preserve">. </w:t>
      </w:r>
      <w:r w:rsidRPr="008B0293">
        <w:rPr>
          <w:rFonts w:ascii="Arial" w:hAnsi="Arial" w:cs="Arial"/>
          <w:b w:val="0"/>
        </w:rPr>
        <w:t xml:space="preserve">Beskrivelse af </w:t>
      </w:r>
      <w:r w:rsidR="009273F4">
        <w:rPr>
          <w:rFonts w:ascii="Arial" w:hAnsi="Arial" w:cs="Arial"/>
          <w:b w:val="0"/>
        </w:rPr>
        <w:t xml:space="preserve">hvordan du via rapporterne fra ADS kan sortere data, så det matcher kolonnerne i </w:t>
      </w:r>
      <w:r w:rsidRPr="008B0293">
        <w:rPr>
          <w:rFonts w:ascii="Arial" w:hAnsi="Arial" w:cs="Arial"/>
          <w:b w:val="0"/>
        </w:rPr>
        <w:fldChar w:fldCharType="begin"/>
      </w:r>
      <w:r w:rsidRPr="008B0293">
        <w:rPr>
          <w:rFonts w:ascii="Arial" w:hAnsi="Arial" w:cs="Arial"/>
          <w:b w:val="0"/>
        </w:rPr>
        <w:instrText xml:space="preserve"> REF _Ref158379133 \h  \* MERGEFORMAT </w:instrText>
      </w:r>
      <w:r w:rsidRPr="008B0293">
        <w:rPr>
          <w:rFonts w:ascii="Arial" w:hAnsi="Arial" w:cs="Arial"/>
          <w:b w:val="0"/>
        </w:rPr>
      </w:r>
      <w:r w:rsidRPr="008B0293">
        <w:rPr>
          <w:rFonts w:ascii="Arial" w:hAnsi="Arial" w:cs="Arial"/>
          <w:b w:val="0"/>
        </w:rPr>
        <w:fldChar w:fldCharType="separate"/>
      </w:r>
      <w:r w:rsidR="00EE4DEB" w:rsidRPr="008B0293">
        <w:rPr>
          <w:rFonts w:ascii="Arial" w:hAnsi="Arial" w:cs="Arial"/>
          <w:b w:val="0"/>
        </w:rPr>
        <w:t xml:space="preserve">Tabel </w:t>
      </w:r>
      <w:r w:rsidR="00EE4DEB" w:rsidRPr="008B0293">
        <w:rPr>
          <w:rFonts w:ascii="Arial" w:hAnsi="Arial" w:cs="Arial"/>
          <w:b w:val="0"/>
          <w:noProof/>
        </w:rPr>
        <w:t>3</w:t>
      </w:r>
      <w:r w:rsidRPr="008B0293">
        <w:rPr>
          <w:rFonts w:ascii="Arial" w:hAnsi="Arial" w:cs="Arial"/>
          <w:b w:val="0"/>
        </w:rPr>
        <w:fldChar w:fldCharType="end"/>
      </w:r>
      <w:r w:rsidRPr="008B0293">
        <w:rPr>
          <w:rFonts w:ascii="Arial" w:hAnsi="Arial" w:cs="Arial"/>
          <w:b w:val="0"/>
        </w:rPr>
        <w:t>.</w:t>
      </w:r>
    </w:p>
    <w:tbl>
      <w:tblPr>
        <w:tblStyle w:val="Tabel-Gitter"/>
        <w:tblW w:w="0" w:type="auto"/>
        <w:tblBorders>
          <w:top w:val="single" w:sz="4" w:space="0" w:color="BFE1D2" w:themeColor="text2"/>
          <w:left w:val="single" w:sz="4" w:space="0" w:color="BFE1D2" w:themeColor="text2"/>
          <w:bottom w:val="single" w:sz="4" w:space="0" w:color="BFE1D2" w:themeColor="text2"/>
          <w:right w:val="single" w:sz="4" w:space="0" w:color="BFE1D2" w:themeColor="text2"/>
          <w:insideH w:val="single" w:sz="4" w:space="0" w:color="BFE1D2" w:themeColor="text2"/>
          <w:insideV w:val="single" w:sz="4" w:space="0" w:color="BFE1D2" w:themeColor="text2"/>
        </w:tblBorders>
        <w:tblLook w:val="04A0" w:firstRow="1" w:lastRow="0" w:firstColumn="1" w:lastColumn="0" w:noHBand="0" w:noVBand="1"/>
      </w:tblPr>
      <w:tblGrid>
        <w:gridCol w:w="1016"/>
        <w:gridCol w:w="2017"/>
        <w:gridCol w:w="6460"/>
      </w:tblGrid>
      <w:tr w:rsidR="003C4116" w14:paraId="292CDD7C" w14:textId="702B9E13" w:rsidTr="009E512E">
        <w:tc>
          <w:tcPr>
            <w:tcW w:w="1016" w:type="dxa"/>
            <w:tcBorders>
              <w:right w:val="single" w:sz="4" w:space="0" w:color="FFFFFF" w:themeColor="background1"/>
            </w:tcBorders>
            <w:shd w:val="clear" w:color="auto" w:fill="BFE1D2" w:themeFill="text2"/>
          </w:tcPr>
          <w:p w14:paraId="7FA023A7" w14:textId="13AA0A9D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Kolonne</w:t>
            </w:r>
          </w:p>
        </w:tc>
        <w:tc>
          <w:tcPr>
            <w:tcW w:w="2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E1D2" w:themeFill="text2"/>
          </w:tcPr>
          <w:p w14:paraId="3D84C2AB" w14:textId="0E3412B8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Beskrivelse</w:t>
            </w:r>
          </w:p>
        </w:tc>
        <w:tc>
          <w:tcPr>
            <w:tcW w:w="6460" w:type="dxa"/>
            <w:tcBorders>
              <w:left w:val="single" w:sz="4" w:space="0" w:color="FFFFFF" w:themeColor="background1"/>
            </w:tcBorders>
            <w:shd w:val="clear" w:color="auto" w:fill="BFE1D2" w:themeFill="text2"/>
          </w:tcPr>
          <w:p w14:paraId="545C2F5E" w14:textId="0A4648D3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Proces for genskabelse</w:t>
            </w:r>
            <w:r w:rsidR="00BB280C">
              <w:rPr>
                <w:rFonts w:ascii="Arial" w:hAnsi="Arial" w:cs="Arial"/>
                <w:b/>
                <w:bCs/>
                <w:szCs w:val="18"/>
              </w:rPr>
              <w:t xml:space="preserve"> af data</w:t>
            </w:r>
          </w:p>
        </w:tc>
      </w:tr>
      <w:tr w:rsidR="00496330" w14:paraId="00FA3294" w14:textId="6F921BB6" w:rsidTr="009E512E">
        <w:tc>
          <w:tcPr>
            <w:tcW w:w="1016" w:type="dxa"/>
          </w:tcPr>
          <w:p w14:paraId="39399CD6" w14:textId="547AC9E5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szCs w:val="18"/>
              </w:rPr>
              <w:t>C</w:t>
            </w:r>
          </w:p>
        </w:tc>
        <w:tc>
          <w:tcPr>
            <w:tcW w:w="2017" w:type="dxa"/>
          </w:tcPr>
          <w:p w14:paraId="72429FD2" w14:textId="1957FBE0" w:rsidR="00496330" w:rsidRPr="006D6AFC" w:rsidRDefault="00BB280C" w:rsidP="006D6AFC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Municipal waste totalt</w:t>
            </w:r>
          </w:p>
        </w:tc>
        <w:tc>
          <w:tcPr>
            <w:tcW w:w="6460" w:type="dxa"/>
          </w:tcPr>
          <w:p w14:paraId="533E0AE7" w14:textId="5BCE10F8" w:rsidR="00496330" w:rsidRPr="006D6AFC" w:rsidRDefault="00BB280C" w:rsidP="00E708CA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 w:rsidR="00E708CA">
              <w:rPr>
                <w:rFonts w:ascii="Arial" w:hAnsi="Arial" w:cs="Arial"/>
                <w:bCs/>
                <w:szCs w:val="18"/>
              </w:rPr>
              <w:t>-</w:t>
            </w:r>
            <w:r>
              <w:rPr>
                <w:rFonts w:ascii="Arial" w:hAnsi="Arial" w:cs="Arial"/>
                <w:bCs/>
                <w:szCs w:val="18"/>
              </w:rPr>
              <w:t xml:space="preserve">koderne i MW (se under definitioner) </w:t>
            </w:r>
            <w:r w:rsidR="003C4116">
              <w:rPr>
                <w:rFonts w:ascii="Arial" w:hAnsi="Arial" w:cs="Arial"/>
                <w:bCs/>
                <w:szCs w:val="18"/>
              </w:rPr>
              <w:t>kombineret med alle behandlingsformer.</w:t>
            </w:r>
          </w:p>
        </w:tc>
      </w:tr>
      <w:tr w:rsidR="00F66408" w14:paraId="100A5670" w14:textId="77777777" w:rsidTr="009E512E">
        <w:tc>
          <w:tcPr>
            <w:tcW w:w="1016" w:type="dxa"/>
          </w:tcPr>
          <w:p w14:paraId="4B81362E" w14:textId="14A0C70B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szCs w:val="18"/>
              </w:rPr>
              <w:t>D</w:t>
            </w:r>
          </w:p>
        </w:tc>
        <w:tc>
          <w:tcPr>
            <w:tcW w:w="2017" w:type="dxa"/>
          </w:tcPr>
          <w:p w14:paraId="370851B0" w14:textId="443F2248" w:rsidR="00F66408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Husholdnings-affald totalt (inkl. Haveaffald)</w:t>
            </w:r>
          </w:p>
        </w:tc>
        <w:tc>
          <w:tcPr>
            <w:tcW w:w="6460" w:type="dxa"/>
          </w:tcPr>
          <w:p w14:paraId="553291A5" w14:textId="4B41997C" w:rsidR="00F66408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i MW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>-kode kombineret med alle behandlingsformer.</w:t>
            </w:r>
          </w:p>
        </w:tc>
      </w:tr>
      <w:tr w:rsidR="00F66408" w14:paraId="41EB986F" w14:textId="0E352E71" w:rsidTr="009E512E">
        <w:tc>
          <w:tcPr>
            <w:tcW w:w="1016" w:type="dxa"/>
          </w:tcPr>
          <w:p w14:paraId="197311D6" w14:textId="238498FC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E</w:t>
            </w:r>
          </w:p>
        </w:tc>
        <w:tc>
          <w:tcPr>
            <w:tcW w:w="2017" w:type="dxa"/>
          </w:tcPr>
          <w:p w14:paraId="6E800FD0" w14:textId="79FF824C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Husholdnings-affald totalt (eksl. Haveaffald)</w:t>
            </w:r>
          </w:p>
        </w:tc>
        <w:tc>
          <w:tcPr>
            <w:tcW w:w="6460" w:type="dxa"/>
          </w:tcPr>
          <w:p w14:paraId="29435575" w14:textId="4946EE02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i MW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 xml:space="preserve">-kode (undtagen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H17</w:t>
            </w:r>
            <w:r>
              <w:rPr>
                <w:rFonts w:ascii="Arial" w:hAnsi="Arial" w:cs="Arial"/>
                <w:bCs/>
                <w:szCs w:val="18"/>
              </w:rPr>
              <w:t xml:space="preserve"> Haveaffald) kombineret med alle behandlingsformer.</w:t>
            </w:r>
          </w:p>
        </w:tc>
      </w:tr>
      <w:tr w:rsidR="00F66408" w14:paraId="0E159B22" w14:textId="17322A05" w:rsidTr="009E512E">
        <w:tc>
          <w:tcPr>
            <w:tcW w:w="1016" w:type="dxa"/>
          </w:tcPr>
          <w:p w14:paraId="0643B1EB" w14:textId="435DC052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G</w:t>
            </w:r>
          </w:p>
        </w:tc>
        <w:tc>
          <w:tcPr>
            <w:tcW w:w="2017" w:type="dxa"/>
          </w:tcPr>
          <w:p w14:paraId="6E0D44CF" w14:textId="3E2712C9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Municipal waste indsamlet  til genanvendelse</w:t>
            </w:r>
          </w:p>
        </w:tc>
        <w:tc>
          <w:tcPr>
            <w:tcW w:w="6460" w:type="dxa"/>
          </w:tcPr>
          <w:p w14:paraId="7A82C459" w14:textId="6FAC3F9A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>-koderne af MW-fraktioner (se under definitioner) kombineret med behandlingsformen Genanvendelse.</w:t>
            </w:r>
          </w:p>
        </w:tc>
      </w:tr>
      <w:tr w:rsidR="00F66408" w14:paraId="1110BD27" w14:textId="77777777" w:rsidTr="009E512E">
        <w:tc>
          <w:tcPr>
            <w:tcW w:w="1016" w:type="dxa"/>
          </w:tcPr>
          <w:p w14:paraId="448E2FAC" w14:textId="5E4A0F00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H</w:t>
            </w:r>
          </w:p>
        </w:tc>
        <w:tc>
          <w:tcPr>
            <w:tcW w:w="2017" w:type="dxa"/>
          </w:tcPr>
          <w:p w14:paraId="1DC7AE75" w14:textId="754836AB" w:rsidR="00F66408" w:rsidRPr="00BB280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Husholdnings-affald indsamlet til genanvendelse</w:t>
            </w:r>
            <w:r>
              <w:rPr>
                <w:rFonts w:ascii="Arial" w:hAnsi="Arial" w:cs="Arial"/>
                <w:bCs/>
                <w:szCs w:val="18"/>
              </w:rPr>
              <w:t xml:space="preserve"> (inkl. Haveaffald)</w:t>
            </w:r>
          </w:p>
        </w:tc>
        <w:tc>
          <w:tcPr>
            <w:tcW w:w="6460" w:type="dxa"/>
          </w:tcPr>
          <w:p w14:paraId="107C713C" w14:textId="7E465361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i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af MW-fraktioner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>-kode kombineret med behandlingsformen Genanvendelse.</w:t>
            </w:r>
          </w:p>
        </w:tc>
      </w:tr>
      <w:tr w:rsidR="00F66408" w14:paraId="732F2ABB" w14:textId="05B395ED" w:rsidTr="009E512E">
        <w:tc>
          <w:tcPr>
            <w:tcW w:w="1016" w:type="dxa"/>
          </w:tcPr>
          <w:p w14:paraId="6DED2A69" w14:textId="0F8CE78E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lastRenderedPageBreak/>
              <w:t>I</w:t>
            </w:r>
          </w:p>
        </w:tc>
        <w:tc>
          <w:tcPr>
            <w:tcW w:w="2017" w:type="dxa"/>
          </w:tcPr>
          <w:p w14:paraId="3E80EDCA" w14:textId="21EEDD44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Husholdnings-affald indsamlet til genanvendelse</w:t>
            </w:r>
            <w:r>
              <w:rPr>
                <w:rFonts w:ascii="Arial" w:hAnsi="Arial" w:cs="Arial"/>
                <w:bCs/>
                <w:szCs w:val="18"/>
              </w:rPr>
              <w:t xml:space="preserve"> (eksl. Haveaffald)</w:t>
            </w:r>
          </w:p>
        </w:tc>
        <w:tc>
          <w:tcPr>
            <w:tcW w:w="6460" w:type="dxa"/>
          </w:tcPr>
          <w:p w14:paraId="558B67DC" w14:textId="1832B625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af MW-fraktioner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 xml:space="preserve">-kode (undtagen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H17</w:t>
            </w:r>
            <w:r>
              <w:rPr>
                <w:rFonts w:ascii="Arial" w:hAnsi="Arial" w:cs="Arial"/>
                <w:bCs/>
                <w:szCs w:val="18"/>
              </w:rPr>
              <w:t xml:space="preserve"> Haveaffald) kombineret med behandlingsformen Genanvendelse.</w:t>
            </w:r>
          </w:p>
        </w:tc>
      </w:tr>
    </w:tbl>
    <w:p w14:paraId="0114C5C6" w14:textId="60478035" w:rsidR="000C1569" w:rsidRDefault="000C1569" w:rsidP="00EE0137">
      <w:pPr>
        <w:rPr>
          <w:szCs w:val="22"/>
        </w:rPr>
      </w:pPr>
    </w:p>
    <w:p w14:paraId="3AC6DD81" w14:textId="77777777" w:rsidR="00180AD0" w:rsidRPr="008B1BF0" w:rsidRDefault="00180AD0" w:rsidP="00EE0137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Bemærk at Miljøstyrelsen har foretaget enkelte rettelser efter indberetningerne til ADS, f.eks. er alle mængder fra kommunale genbrugsstationer rettet til </w:t>
      </w:r>
      <w:r w:rsidRPr="008B1BF0">
        <w:rPr>
          <w:rFonts w:ascii="Arial" w:hAnsi="Arial" w:cs="Arial"/>
          <w:i/>
        </w:rPr>
        <w:t>H</w:t>
      </w:r>
      <w:r w:rsidRPr="008B1BF0">
        <w:rPr>
          <w:rFonts w:ascii="Arial" w:hAnsi="Arial" w:cs="Arial"/>
        </w:rPr>
        <w:t>-affald.</w:t>
      </w:r>
    </w:p>
    <w:p w14:paraId="757DC18B" w14:textId="77777777" w:rsidR="00180AD0" w:rsidRPr="008B1BF0" w:rsidRDefault="00180AD0" w:rsidP="00EE0137">
      <w:pPr>
        <w:rPr>
          <w:rFonts w:ascii="Arial" w:hAnsi="Arial" w:cs="Arial"/>
        </w:rPr>
      </w:pPr>
    </w:p>
    <w:p w14:paraId="320E5390" w14:textId="7CF8F28B" w:rsidR="003C4116" w:rsidRPr="008B1BF0" w:rsidRDefault="003C4116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Typiske årsager til at ADS ikke stemmer overens med kommunens egen opgørelse:</w:t>
      </w:r>
    </w:p>
    <w:p w14:paraId="383E9E40" w14:textId="5AF07259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i/>
          <w:szCs w:val="22"/>
        </w:rPr>
        <w:t>H</w:t>
      </w:r>
      <w:r w:rsidRPr="008B1BF0">
        <w:rPr>
          <w:rFonts w:ascii="Arial" w:hAnsi="Arial" w:cs="Arial"/>
          <w:szCs w:val="22"/>
        </w:rPr>
        <w:t xml:space="preserve"> og </w:t>
      </w:r>
      <w:r w:rsidRPr="008B1BF0">
        <w:rPr>
          <w:rFonts w:ascii="Arial" w:hAnsi="Arial" w:cs="Arial"/>
          <w:i/>
          <w:szCs w:val="22"/>
        </w:rPr>
        <w:t>E</w:t>
      </w:r>
      <w:r w:rsidRPr="008B1BF0">
        <w:rPr>
          <w:rFonts w:ascii="Arial" w:hAnsi="Arial" w:cs="Arial"/>
          <w:szCs w:val="22"/>
        </w:rPr>
        <w:t xml:space="preserve"> er byttet rundt, altså erhvervsaffald er indberettet som husholdningsaffald, eller omvendt.</w:t>
      </w:r>
    </w:p>
    <w:p w14:paraId="5549C8B4" w14:textId="405EC350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Forkert fraktion, </w:t>
      </w:r>
      <w:r w:rsidRPr="008B1BF0">
        <w:rPr>
          <w:rFonts w:ascii="Arial" w:hAnsi="Arial" w:cs="Arial"/>
          <w:i/>
          <w:szCs w:val="22"/>
        </w:rPr>
        <w:t>H/E</w:t>
      </w:r>
      <w:r w:rsidRPr="008B1BF0">
        <w:rPr>
          <w:rFonts w:ascii="Arial" w:hAnsi="Arial" w:cs="Arial"/>
          <w:szCs w:val="22"/>
        </w:rPr>
        <w:t>-kode, er valgt</w:t>
      </w:r>
    </w:p>
    <w:p w14:paraId="0AA577DD" w14:textId="20F6E001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Forkert </w:t>
      </w:r>
      <w:r w:rsidRPr="008B1BF0">
        <w:rPr>
          <w:rFonts w:ascii="Arial" w:hAnsi="Arial" w:cs="Arial"/>
          <w:i/>
          <w:szCs w:val="22"/>
        </w:rPr>
        <w:t>EAK</w:t>
      </w:r>
      <w:r w:rsidR="00E708CA">
        <w:rPr>
          <w:rFonts w:ascii="Arial" w:hAnsi="Arial" w:cs="Arial"/>
          <w:szCs w:val="22"/>
        </w:rPr>
        <w:t>-</w:t>
      </w:r>
      <w:r w:rsidRPr="008B1BF0">
        <w:rPr>
          <w:rFonts w:ascii="Arial" w:hAnsi="Arial" w:cs="Arial"/>
          <w:szCs w:val="22"/>
        </w:rPr>
        <w:t>kode er valgt</w:t>
      </w:r>
    </w:p>
    <w:p w14:paraId="0A022C89" w14:textId="5C16245B" w:rsidR="003C4116" w:rsidRPr="008B1BF0" w:rsidRDefault="003C4116" w:rsidP="006D6AFC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Der er peget på forkert P-nummer (og mængder er f.eks. blevet sekundære, eller ligger i en anden kommune)</w:t>
      </w:r>
    </w:p>
    <w:p w14:paraId="7289D887" w14:textId="77777777" w:rsidR="00496330" w:rsidRPr="008B1BF0" w:rsidRDefault="00496330" w:rsidP="00EE0137">
      <w:pPr>
        <w:rPr>
          <w:rFonts w:ascii="Arial" w:hAnsi="Arial" w:cs="Arial"/>
          <w:szCs w:val="22"/>
        </w:rPr>
      </w:pPr>
    </w:p>
    <w:p w14:paraId="1E1327FC" w14:textId="609175A6" w:rsidR="004A7BBC" w:rsidRPr="008B1BF0" w:rsidRDefault="00AD4D59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Log ind med MitID Erhverv</w:t>
      </w:r>
      <w:r w:rsidR="00BB3291" w:rsidRPr="008B1BF0">
        <w:rPr>
          <w:rStyle w:val="Fodnotehenvisning"/>
          <w:rFonts w:cs="Arial"/>
          <w:szCs w:val="22"/>
        </w:rPr>
        <w:footnoteReference w:id="10"/>
      </w:r>
      <w:r w:rsidRPr="008B1BF0">
        <w:rPr>
          <w:rFonts w:ascii="Arial" w:hAnsi="Arial" w:cs="Arial"/>
          <w:szCs w:val="22"/>
        </w:rPr>
        <w:t xml:space="preserve"> for at få adgang til ovenstående. </w:t>
      </w:r>
      <w:r w:rsidR="00D120F3">
        <w:rPr>
          <w:rFonts w:ascii="Arial" w:hAnsi="Arial" w:cs="Arial"/>
          <w:szCs w:val="22"/>
        </w:rPr>
        <w:t>For udvalgte</w:t>
      </w:r>
      <w:r w:rsidR="004A7BBC" w:rsidRPr="008B1BF0">
        <w:rPr>
          <w:rFonts w:ascii="Arial" w:hAnsi="Arial" w:cs="Arial"/>
          <w:szCs w:val="22"/>
        </w:rPr>
        <w:t xml:space="preserve"> år udsender ADS teamet en e-mail med gennemgang af kommunens data, som kan være et godt udgangspunkt. </w:t>
      </w:r>
    </w:p>
    <w:p w14:paraId="637D1B35" w14:textId="2A29BBB7" w:rsidR="007616A9" w:rsidRPr="008B1BF0" w:rsidRDefault="00B06E7B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Har du yderligere behov for hjælp til ændringer, så</w:t>
      </w:r>
      <w:r w:rsidR="000C4105" w:rsidRPr="008B1BF0">
        <w:rPr>
          <w:rFonts w:ascii="Arial" w:hAnsi="Arial" w:cs="Arial"/>
          <w:szCs w:val="22"/>
        </w:rPr>
        <w:t xml:space="preserve"> kontakt ADS teamet</w:t>
      </w:r>
      <w:r w:rsidR="000C1569" w:rsidRPr="008B1BF0">
        <w:rPr>
          <w:rFonts w:ascii="Arial" w:hAnsi="Arial" w:cs="Arial"/>
          <w:szCs w:val="22"/>
        </w:rPr>
        <w:t>:</w:t>
      </w:r>
    </w:p>
    <w:p w14:paraId="2E2530E4" w14:textId="77777777" w:rsidR="003C4116" w:rsidRDefault="003C4116" w:rsidP="00EE0137">
      <w:pPr>
        <w:rPr>
          <w:szCs w:val="22"/>
        </w:rPr>
      </w:pPr>
    </w:p>
    <w:p w14:paraId="3783A8C5" w14:textId="2D8146AA" w:rsidR="00A91042" w:rsidRPr="008B1BF0" w:rsidRDefault="00A91042" w:rsidP="006D6AFC">
      <w:pPr>
        <w:pStyle w:val="Eksempler"/>
        <w:rPr>
          <w:rFonts w:cs="Arial"/>
        </w:rPr>
      </w:pPr>
      <w:r w:rsidRPr="008B1BF0">
        <w:rPr>
          <w:rFonts w:cs="Arial"/>
        </w:rPr>
        <w:t>Tlf.: 72 54 81 81 (åben mandag-fredag kl. 10-14)</w:t>
      </w:r>
    </w:p>
    <w:p w14:paraId="255D8FD8" w14:textId="2D6E88EF" w:rsidR="0066474B" w:rsidRPr="008B1BF0" w:rsidRDefault="007616A9" w:rsidP="006D6AFC">
      <w:pPr>
        <w:pStyle w:val="Eksempler"/>
        <w:rPr>
          <w:rStyle w:val="Hyperlink"/>
          <w:rFonts w:cs="Arial"/>
        </w:rPr>
      </w:pPr>
      <w:r w:rsidRPr="008B1BF0">
        <w:rPr>
          <w:rFonts w:cs="Arial"/>
        </w:rPr>
        <w:t>M</w:t>
      </w:r>
      <w:r w:rsidR="00A91042" w:rsidRPr="008B1BF0">
        <w:rPr>
          <w:rFonts w:cs="Arial"/>
        </w:rPr>
        <w:t xml:space="preserve">ail: </w:t>
      </w:r>
      <w:hyperlink r:id="rId22" w:history="1">
        <w:r w:rsidR="00417D87" w:rsidRPr="008B1BF0">
          <w:rPr>
            <w:rStyle w:val="Hyperlink"/>
            <w:rFonts w:cs="Arial"/>
          </w:rPr>
          <w:t>affaldsdatasystem@mst.dk</w:t>
        </w:r>
      </w:hyperlink>
    </w:p>
    <w:p w14:paraId="30469A5A" w14:textId="2898044B" w:rsidR="00BD5427" w:rsidRPr="008B1BF0" w:rsidRDefault="005E2CC4" w:rsidP="006D6AFC">
      <w:pPr>
        <w:pStyle w:val="Overskrift1"/>
      </w:pPr>
      <w:r w:rsidRPr="008B1BF0">
        <w:t>Forbehold</w:t>
      </w:r>
    </w:p>
    <w:p w14:paraId="2B801AEB" w14:textId="1DE50D7C" w:rsidR="005449B2" w:rsidRPr="008B1BF0" w:rsidRDefault="002418BA" w:rsidP="005E2CC4">
      <w:pPr>
        <w:rPr>
          <w:rFonts w:ascii="Arial" w:hAnsi="Arial" w:cs="Arial"/>
        </w:rPr>
      </w:pPr>
      <w:r w:rsidRPr="008B1BF0">
        <w:rPr>
          <w:rFonts w:ascii="Arial" w:hAnsi="Arial" w:cs="Arial"/>
        </w:rPr>
        <w:t>Eventuelle ti</w:t>
      </w:r>
      <w:r w:rsidR="00C5716B" w:rsidRPr="008B1BF0">
        <w:rPr>
          <w:rFonts w:ascii="Arial" w:hAnsi="Arial" w:cs="Arial"/>
        </w:rPr>
        <w:t xml:space="preserve">lretninger i </w:t>
      </w:r>
      <w:r w:rsidR="000C1569" w:rsidRPr="008B1BF0">
        <w:rPr>
          <w:rFonts w:ascii="Arial" w:hAnsi="Arial" w:cs="Arial"/>
        </w:rPr>
        <w:t xml:space="preserve">historiske </w:t>
      </w:r>
      <w:r w:rsidR="00C5716B" w:rsidRPr="008B1BF0">
        <w:rPr>
          <w:rFonts w:ascii="Arial" w:hAnsi="Arial" w:cs="Arial"/>
        </w:rPr>
        <w:t>data for år</w:t>
      </w:r>
      <w:r w:rsidR="0054727D" w:rsidRPr="008B1BF0">
        <w:rPr>
          <w:rFonts w:ascii="Arial" w:hAnsi="Arial" w:cs="Arial"/>
        </w:rPr>
        <w:t xml:space="preserve"> </w:t>
      </w:r>
      <w:r w:rsidR="00C5716B" w:rsidRPr="008B1BF0">
        <w:rPr>
          <w:rFonts w:ascii="Arial" w:hAnsi="Arial" w:cs="Arial"/>
        </w:rPr>
        <w:t>vil ikke resultere i</w:t>
      </w:r>
      <w:r w:rsidR="000120D7" w:rsidRPr="008B1BF0">
        <w:rPr>
          <w:rFonts w:ascii="Arial" w:hAnsi="Arial" w:cs="Arial"/>
        </w:rPr>
        <w:t>,</w:t>
      </w:r>
      <w:r w:rsidR="00C5716B" w:rsidRPr="008B1BF0">
        <w:rPr>
          <w:rFonts w:ascii="Arial" w:hAnsi="Arial" w:cs="Arial"/>
        </w:rPr>
        <w:t xml:space="preserve"> at der udgives en ny Affaldsstatistik for det gældende år. </w:t>
      </w:r>
      <w:r w:rsidR="000120D7" w:rsidRPr="008B1BF0">
        <w:rPr>
          <w:rFonts w:ascii="Arial" w:hAnsi="Arial" w:cs="Arial"/>
        </w:rPr>
        <w:t xml:space="preserve">Justeringerne </w:t>
      </w:r>
      <w:r w:rsidR="00C5716B" w:rsidRPr="008B1BF0">
        <w:rPr>
          <w:rFonts w:ascii="Arial" w:hAnsi="Arial" w:cs="Arial"/>
        </w:rPr>
        <w:t xml:space="preserve">vil dog </w:t>
      </w:r>
      <w:r w:rsidR="000120D7" w:rsidRPr="008B1BF0">
        <w:rPr>
          <w:rFonts w:ascii="Arial" w:hAnsi="Arial" w:cs="Arial"/>
        </w:rPr>
        <w:t xml:space="preserve">blive tilrettet </w:t>
      </w:r>
      <w:r w:rsidR="00C5716B" w:rsidRPr="008B1BF0">
        <w:rPr>
          <w:rFonts w:ascii="Arial" w:hAnsi="Arial" w:cs="Arial"/>
        </w:rPr>
        <w:t>i den kommen</w:t>
      </w:r>
      <w:r w:rsidR="00372137" w:rsidRPr="008B1BF0">
        <w:rPr>
          <w:rFonts w:ascii="Arial" w:hAnsi="Arial" w:cs="Arial"/>
        </w:rPr>
        <w:t>de</w:t>
      </w:r>
      <w:r w:rsidR="00C5716B" w:rsidRPr="008B1BF0">
        <w:rPr>
          <w:rFonts w:ascii="Arial" w:hAnsi="Arial" w:cs="Arial"/>
        </w:rPr>
        <w:t xml:space="preserve"> Affaldsstatistik, også for tidligere år.</w:t>
      </w:r>
      <w:r w:rsidR="000120D7" w:rsidRPr="008B1BF0">
        <w:rPr>
          <w:rFonts w:ascii="Arial" w:hAnsi="Arial" w:cs="Arial"/>
        </w:rPr>
        <w:t xml:space="preserve"> </w:t>
      </w:r>
    </w:p>
    <w:sectPr w:rsidR="005449B2" w:rsidRPr="008B1BF0" w:rsidSect="00EF69CE">
      <w:pgSz w:w="11906" w:h="16838" w:code="9"/>
      <w:pgMar w:top="1701" w:right="1134" w:bottom="1701" w:left="1134" w:header="459" w:footer="78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D007F0" w16cex:dateUtc="2024-02-08T14:17:00Z"/>
  <w16cex:commentExtensible w16cex:durableId="0F13715C" w16cex:dateUtc="2024-02-08T14:19:00Z"/>
  <w16cex:commentExtensible w16cex:durableId="04634B8F" w16cex:dateUtc="2024-02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A2E90" w16cid:durableId="036089C1"/>
  <w16cid:commentId w16cid:paraId="16AC8C2E" w16cid:durableId="04DBF6A6"/>
  <w16cid:commentId w16cid:paraId="0219913C" w16cid:durableId="2A2601E8"/>
  <w16cid:commentId w16cid:paraId="4B0CB7C9" w16cid:durableId="1B26EE2C"/>
  <w16cid:commentId w16cid:paraId="2C9D9316" w16cid:durableId="26E15BE1"/>
  <w16cid:commentId w16cid:paraId="46BD86FE" w16cid:durableId="3EE2B6F9"/>
  <w16cid:commentId w16cid:paraId="56675C7A" w16cid:durableId="7E8A8266"/>
  <w16cid:commentId w16cid:paraId="295051A7" w16cid:durableId="785B2A97"/>
  <w16cid:commentId w16cid:paraId="25FD6C5C" w16cid:durableId="5C552669"/>
  <w16cid:commentId w16cid:paraId="427640B7" w16cid:durableId="4C44CC93"/>
  <w16cid:commentId w16cid:paraId="25147C26" w16cid:durableId="549C9821"/>
  <w16cid:commentId w16cid:paraId="4A45CA11" w16cid:durableId="06ECDFDC"/>
  <w16cid:commentId w16cid:paraId="12746766" w16cid:durableId="7D016A68"/>
  <w16cid:commentId w16cid:paraId="1AB480BE" w16cid:durableId="57C59AA4"/>
  <w16cid:commentId w16cid:paraId="4224D320" w16cid:durableId="2ECDF9BF"/>
  <w16cid:commentId w16cid:paraId="3757FDBE" w16cid:durableId="6734CAEF"/>
  <w16cid:commentId w16cid:paraId="1893AA8A" w16cid:durableId="52FDC608"/>
  <w16cid:commentId w16cid:paraId="7EB077AC" w16cid:durableId="0F514B3D"/>
  <w16cid:commentId w16cid:paraId="66019C97" w16cid:durableId="19DFB8C8"/>
  <w16cid:commentId w16cid:paraId="4AA27420" w16cid:durableId="0DD446EE"/>
  <w16cid:commentId w16cid:paraId="7AF20E8E" w16cid:durableId="6D425120"/>
  <w16cid:commentId w16cid:paraId="75FF71A3" w16cid:durableId="05811710"/>
  <w16cid:commentId w16cid:paraId="54D392CB" w16cid:durableId="07FA50FE"/>
  <w16cid:commentId w16cid:paraId="2694A4C5" w16cid:durableId="392960A6"/>
  <w16cid:commentId w16cid:paraId="5EBEFA38" w16cid:durableId="2B3059FE"/>
  <w16cid:commentId w16cid:paraId="62487D3C" w16cid:durableId="55E6E5E1"/>
  <w16cid:commentId w16cid:paraId="7F2A14BF" w16cid:durableId="37528B4F"/>
  <w16cid:commentId w16cid:paraId="0C6AE47E" w16cid:durableId="7CC4478E"/>
  <w16cid:commentId w16cid:paraId="7BCC680C" w16cid:durableId="1B786C53"/>
  <w16cid:commentId w16cid:paraId="68FD768C" w16cid:durableId="39D007F0"/>
  <w16cid:commentId w16cid:paraId="4AD309FC" w16cid:durableId="5ED61827"/>
  <w16cid:commentId w16cid:paraId="3AE065E5" w16cid:durableId="56D99D63"/>
  <w16cid:commentId w16cid:paraId="12BD09FA" w16cid:durableId="50D4CC2C"/>
  <w16cid:commentId w16cid:paraId="7934779C" w16cid:durableId="26EB32A1"/>
  <w16cid:commentId w16cid:paraId="6CDD99EC" w16cid:durableId="5931F261"/>
  <w16cid:commentId w16cid:paraId="3965925A" w16cid:durableId="6F037107"/>
  <w16cid:commentId w16cid:paraId="037C5CC4" w16cid:durableId="5CDD5840"/>
  <w16cid:commentId w16cid:paraId="1BEBA95B" w16cid:durableId="2F1B0F65"/>
  <w16cid:commentId w16cid:paraId="7DB48FA7" w16cid:durableId="16F01EE5"/>
  <w16cid:commentId w16cid:paraId="43B7C4F2" w16cid:durableId="0F13715C"/>
  <w16cid:commentId w16cid:paraId="30CBAF6C" w16cid:durableId="08B765CB"/>
  <w16cid:commentId w16cid:paraId="1115A212" w16cid:durableId="10223EA8"/>
  <w16cid:commentId w16cid:paraId="3C2FE1A1" w16cid:durableId="2E2929FF"/>
  <w16cid:commentId w16cid:paraId="5A065DA4" w16cid:durableId="34D08189"/>
  <w16cid:commentId w16cid:paraId="1FE59A78" w16cid:durableId="32E8619B"/>
  <w16cid:commentId w16cid:paraId="65325F25" w16cid:durableId="70728BB3"/>
  <w16cid:commentId w16cid:paraId="271C6612" w16cid:durableId="23D47507"/>
  <w16cid:commentId w16cid:paraId="3FB9B5FD" w16cid:durableId="1B450373"/>
  <w16cid:commentId w16cid:paraId="4DB1E8D8" w16cid:durableId="08657226"/>
  <w16cid:commentId w16cid:paraId="29E020C7" w16cid:durableId="06ED9773"/>
  <w16cid:commentId w16cid:paraId="7648239F" w16cid:durableId="512F470B"/>
  <w16cid:commentId w16cid:paraId="08712C30" w16cid:durableId="11D12EE3"/>
  <w16cid:commentId w16cid:paraId="4CB34CE8" w16cid:durableId="255E7828"/>
  <w16cid:commentId w16cid:paraId="3D3E7A77" w16cid:durableId="66A0E88B"/>
  <w16cid:commentId w16cid:paraId="2B8AEA84" w16cid:durableId="421F9A1A"/>
  <w16cid:commentId w16cid:paraId="47A63272" w16cid:durableId="3C9CDE34"/>
  <w16cid:commentId w16cid:paraId="6537E4CD" w16cid:durableId="04634B8F"/>
  <w16cid:commentId w16cid:paraId="6A4F852F" w16cid:durableId="3E4B3E56"/>
  <w16cid:commentId w16cid:paraId="07B54B1F" w16cid:durableId="1E96045E"/>
  <w16cid:commentId w16cid:paraId="510F9F14" w16cid:durableId="54FC65F8"/>
  <w16cid:commentId w16cid:paraId="5F56B2A8" w16cid:durableId="561C157E"/>
  <w16cid:commentId w16cid:paraId="1C10C28E" w16cid:durableId="6F1CDAB9"/>
  <w16cid:commentId w16cid:paraId="4A048E2A" w16cid:durableId="62813274"/>
  <w16cid:commentId w16cid:paraId="76D8E93C" w16cid:durableId="2664D56A"/>
  <w16cid:commentId w16cid:paraId="129764F1" w16cid:durableId="44A0779E"/>
  <w16cid:commentId w16cid:paraId="23D6DD95" w16cid:durableId="63246B9A"/>
  <w16cid:commentId w16cid:paraId="5AF4DA8E" w16cid:durableId="5C9C84DB"/>
  <w16cid:commentId w16cid:paraId="43CBEE3B" w16cid:durableId="6F816F41"/>
  <w16cid:commentId w16cid:paraId="1B99DD27" w16cid:durableId="3AF757C9"/>
  <w16cid:commentId w16cid:paraId="028F943C" w16cid:durableId="358B8A82"/>
  <w16cid:commentId w16cid:paraId="4AB44DE2" w16cid:durableId="7FCF856D"/>
  <w16cid:commentId w16cid:paraId="3FDEB7F0" w16cid:durableId="76567A25"/>
  <w16cid:commentId w16cid:paraId="07BB874E" w16cid:durableId="38D4A47F"/>
  <w16cid:commentId w16cid:paraId="42EF9627" w16cid:durableId="4D4DBBAA"/>
  <w16cid:commentId w16cid:paraId="6AD23E46" w16cid:durableId="31107C40"/>
  <w16cid:commentId w16cid:paraId="68B371E0" w16cid:durableId="61443E2D"/>
  <w16cid:commentId w16cid:paraId="78B2E0A0" w16cid:durableId="44CDDBD3"/>
  <w16cid:commentId w16cid:paraId="2C563786" w16cid:durableId="164B86CF"/>
  <w16cid:commentId w16cid:paraId="50A16290" w16cid:durableId="3AA9B194"/>
  <w16cid:commentId w16cid:paraId="2D151A32" w16cid:durableId="1BCC702A"/>
  <w16cid:commentId w16cid:paraId="1CE8A31B" w16cid:durableId="680E9430"/>
  <w16cid:commentId w16cid:paraId="37C4FEC6" w16cid:durableId="68AA45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2303" w14:textId="77777777" w:rsidR="00F26B0A" w:rsidRDefault="00F26B0A">
      <w:r>
        <w:separator/>
      </w:r>
    </w:p>
  </w:endnote>
  <w:endnote w:type="continuationSeparator" w:id="0">
    <w:p w14:paraId="322D3E2F" w14:textId="77777777" w:rsidR="00F26B0A" w:rsidRDefault="00F26B0A">
      <w:r>
        <w:continuationSeparator/>
      </w:r>
    </w:p>
  </w:endnote>
  <w:endnote w:type="continuationNotice" w:id="1">
    <w:p w14:paraId="5A593969" w14:textId="77777777" w:rsidR="00F26B0A" w:rsidRDefault="00F26B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DAAA" w14:textId="77777777" w:rsidR="00F26B0A" w:rsidRDefault="00F26B0A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C427D82" w14:textId="77777777" w:rsidR="00F26B0A" w:rsidRDefault="00F26B0A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BACF" w14:textId="09845094" w:rsidR="00F26B0A" w:rsidRPr="001C6975" w:rsidRDefault="00F26B0A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200ACE">
      <w:rPr>
        <w:rStyle w:val="Sidetal"/>
        <w:noProof/>
      </w:rPr>
      <w:t>9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381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33F967" w14:textId="2ACF6113" w:rsidR="00F26B0A" w:rsidRPr="00FD2E0F" w:rsidRDefault="00F26B0A">
        <w:pPr>
          <w:pStyle w:val="Sidefod"/>
          <w:jc w:val="right"/>
          <w:rPr>
            <w:sz w:val="20"/>
          </w:rPr>
        </w:pPr>
        <w:r w:rsidRPr="00FD2E0F">
          <w:rPr>
            <w:sz w:val="20"/>
          </w:rPr>
          <w:fldChar w:fldCharType="begin"/>
        </w:r>
        <w:r w:rsidRPr="00FD2E0F">
          <w:rPr>
            <w:sz w:val="20"/>
          </w:rPr>
          <w:instrText>PAGE   \* MERGEFORMAT</w:instrText>
        </w:r>
        <w:r w:rsidRPr="00FD2E0F">
          <w:rPr>
            <w:sz w:val="20"/>
          </w:rPr>
          <w:fldChar w:fldCharType="separate"/>
        </w:r>
        <w:r w:rsidR="00974540">
          <w:rPr>
            <w:noProof/>
            <w:sz w:val="20"/>
          </w:rPr>
          <w:t>1</w:t>
        </w:r>
        <w:r w:rsidRPr="00FD2E0F">
          <w:rPr>
            <w:sz w:val="20"/>
          </w:rPr>
          <w:fldChar w:fldCharType="end"/>
        </w:r>
      </w:p>
    </w:sdtContent>
  </w:sdt>
  <w:p w14:paraId="2A85250A" w14:textId="77777777" w:rsidR="00F26B0A" w:rsidRPr="00EE0137" w:rsidRDefault="00F26B0A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B2D7" w14:textId="77777777" w:rsidR="00F26B0A" w:rsidRDefault="00F26B0A">
      <w:r>
        <w:separator/>
      </w:r>
    </w:p>
  </w:footnote>
  <w:footnote w:type="continuationSeparator" w:id="0">
    <w:p w14:paraId="673265F3" w14:textId="77777777" w:rsidR="00F26B0A" w:rsidRDefault="00F26B0A">
      <w:r>
        <w:continuationSeparator/>
      </w:r>
    </w:p>
  </w:footnote>
  <w:footnote w:type="continuationNotice" w:id="1">
    <w:p w14:paraId="3D1E5A6E" w14:textId="77777777" w:rsidR="00F26B0A" w:rsidRDefault="00F26B0A">
      <w:pPr>
        <w:spacing w:line="240" w:lineRule="auto"/>
      </w:pPr>
    </w:p>
  </w:footnote>
  <w:footnote w:id="2">
    <w:p w14:paraId="4F44F822" w14:textId="37E9A2EC" w:rsidR="00F26B0A" w:rsidRPr="000718BE" w:rsidRDefault="00F26B0A" w:rsidP="00DD3A9D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Miljøstyrelsens forpligtelse udspringer af Affaldsrammedirektivet (2018/851)</w:t>
      </w:r>
    </w:p>
  </w:footnote>
  <w:footnote w:id="3">
    <w:p w14:paraId="4554E3D8" w14:textId="119011A9" w:rsidR="00F26B0A" w:rsidRPr="000718BE" w:rsidRDefault="00F26B0A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Se definition på</w:t>
      </w:r>
      <w:r w:rsidR="000A5F32">
        <w:rPr>
          <w:rFonts w:ascii="Arial" w:hAnsi="Arial" w:cs="Arial"/>
          <w:sz w:val="16"/>
          <w:szCs w:val="16"/>
        </w:rPr>
        <w:t xml:space="preserve"> side 59 i Affaldsstatistik 2022</w:t>
      </w:r>
      <w:r w:rsidRPr="000718BE">
        <w:rPr>
          <w:rFonts w:ascii="Arial" w:hAnsi="Arial" w:cs="Arial"/>
          <w:sz w:val="16"/>
          <w:szCs w:val="16"/>
        </w:rPr>
        <w:t>.</w:t>
      </w:r>
    </w:p>
  </w:footnote>
  <w:footnote w:id="4">
    <w:p w14:paraId="39A97B7F" w14:textId="2B961894" w:rsidR="00F26B0A" w:rsidRPr="000718BE" w:rsidRDefault="00F26B0A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Det Europæiske Affaldskatalog (EAK) fremgår af bilag 2 ”Listen over affald” i Affaldsbekendtgørelsen (BEK nr. 2512 af 10/12/2021)</w:t>
      </w:r>
    </w:p>
  </w:footnote>
  <w:footnote w:id="5">
    <w:p w14:paraId="3705D2D0" w14:textId="50E2FFCB" w:rsidR="00F26B0A" w:rsidRPr="000718BE" w:rsidRDefault="00F26B0A" w:rsidP="003F56AE">
      <w:pPr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Læs indledningen til kapitel 5 i Affaldsstatistikken for definition af MW og uddybning i affaldsrammedirektivet (2018/851). </w:t>
      </w:r>
    </w:p>
  </w:footnote>
  <w:footnote w:id="6">
    <w:p w14:paraId="346F3DA1" w14:textId="5F1F34CB" w:rsidR="00F26B0A" w:rsidRPr="00DE2DD1" w:rsidRDefault="00F26B0A">
      <w:pPr>
        <w:pStyle w:val="Fodnotetekst"/>
        <w:rPr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H/E-koder defineres i bilag 2 ”Data om affaldsfraktion” i Affaldsdatabekendtgørelsen (BEK nr. 2078 af 10/11/2021)</w:t>
      </w:r>
    </w:p>
  </w:footnote>
  <w:footnote w:id="7">
    <w:p w14:paraId="451978C4" w14:textId="77777777" w:rsidR="00F26B0A" w:rsidRPr="000718BE" w:rsidRDefault="00F26B0A" w:rsidP="00087169">
      <w:pPr>
        <w:pStyle w:val="Fodnotetekst"/>
        <w:rPr>
          <w:rFonts w:ascii="Arial" w:hAnsi="Arial" w:cs="Arial"/>
        </w:rPr>
      </w:pPr>
      <w:r w:rsidRPr="000718BE">
        <w:rPr>
          <w:rStyle w:val="Fodnotehenvisning"/>
          <w:rFonts w:cs="Arial"/>
        </w:rPr>
        <w:footnoteRef/>
      </w:r>
      <w:r w:rsidRPr="000718BE">
        <w:rPr>
          <w:rFonts w:ascii="Arial" w:hAnsi="Arial" w:cs="Arial"/>
        </w:rPr>
        <w:t xml:space="preserve"> Bilag 8 i Affaldsbekendtgørelsen og bilag 1 til Kommissionens gennemførselsafgørelse 2019/1004/EU</w:t>
      </w:r>
    </w:p>
  </w:footnote>
  <w:footnote w:id="8">
    <w:p w14:paraId="5C89D068" w14:textId="34171194" w:rsidR="00F26B0A" w:rsidRPr="000718BE" w:rsidRDefault="00F26B0A">
      <w:pPr>
        <w:pStyle w:val="Fodnotetekst"/>
        <w:rPr>
          <w:rFonts w:ascii="Arial" w:hAnsi="Arial" w:cs="Arial"/>
        </w:rPr>
      </w:pPr>
      <w:r w:rsidRPr="000718BE">
        <w:rPr>
          <w:rStyle w:val="Fodnotehenvisning"/>
          <w:rFonts w:cs="Arial"/>
        </w:rPr>
        <w:footnoteRef/>
      </w:r>
      <w:r w:rsidRPr="000718BE">
        <w:rPr>
          <w:rFonts w:ascii="Arial" w:hAnsi="Arial" w:cs="Arial"/>
        </w:rPr>
        <w:t xml:space="preserve"> Koder fremgår af Bilag 4 ”Former og metoder for bortskaffelse” og Bilag 5 ”Former og metoder for nyttiggørelse” i Affaldsbekendtgørelsen (BEK nr. 2512 af 10/12/2021)</w:t>
      </w:r>
    </w:p>
  </w:footnote>
  <w:footnote w:id="9">
    <w:p w14:paraId="0E3D011E" w14:textId="6D7C112E" w:rsidR="00F26B0A" w:rsidRDefault="00F26B0A">
      <w:pPr>
        <w:pStyle w:val="Fodnotetekst"/>
      </w:pPr>
      <w:r>
        <w:rPr>
          <w:rStyle w:val="Fodnotehenvisning"/>
        </w:rPr>
        <w:footnoteRef/>
      </w:r>
      <w:r>
        <w:t xml:space="preserve"> Se </w:t>
      </w:r>
      <w:hyperlink r:id="rId1" w:history="1">
        <w:r w:rsidRPr="00BB3291">
          <w:rPr>
            <w:rStyle w:val="Hyperlink"/>
          </w:rPr>
          <w:t>”Vejledning til rettelse af indberetning i Affaldsdataportalen”</w:t>
        </w:r>
      </w:hyperlink>
      <w:r>
        <w:t xml:space="preserve"> </w:t>
      </w:r>
    </w:p>
  </w:footnote>
  <w:footnote w:id="10">
    <w:p w14:paraId="63353B9F" w14:textId="357C8641" w:rsidR="00F26B0A" w:rsidRPr="000718BE" w:rsidRDefault="00F26B0A">
      <w:pPr>
        <w:pStyle w:val="Fodnotetekst"/>
        <w:rPr>
          <w:rFonts w:ascii="Arial" w:hAnsi="Arial" w:cs="Arial"/>
        </w:rPr>
      </w:pPr>
      <w:r w:rsidRPr="000718BE">
        <w:rPr>
          <w:rStyle w:val="Fodnotehenvisning"/>
          <w:rFonts w:cs="Arial"/>
        </w:rPr>
        <w:footnoteRef/>
      </w:r>
      <w:r w:rsidRPr="000718BE">
        <w:rPr>
          <w:rFonts w:ascii="Arial" w:hAnsi="Arial" w:cs="Arial"/>
        </w:rPr>
        <w:t xml:space="preserve"> Se </w:t>
      </w:r>
      <w:hyperlink r:id="rId2" w:history="1">
        <w:r w:rsidRPr="000718BE">
          <w:rPr>
            <w:rStyle w:val="Hyperlink"/>
            <w:rFonts w:ascii="Arial" w:hAnsi="Arial" w:cs="Arial"/>
          </w:rPr>
          <w:t>”Vejledning for kommunerne om adgang til Affaldsdatasystemet”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4BA7" w14:textId="329E6CD5" w:rsidR="00D448FD" w:rsidRDefault="00200ACE">
    <w:pPr>
      <w:pStyle w:val="Sidehoved"/>
    </w:pPr>
    <w:r>
      <w:rPr>
        <w:noProof/>
      </w:rPr>
      <w:pict w14:anchorId="43EB3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7657" o:spid="_x0000_s30722" type="#_x0000_t136" style="position:absolute;margin-left:0;margin-top:0;width:555.9pt;height:123.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Georgia&quot;;font-size:1pt" string="Not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E690" w14:textId="2BE3FD4F" w:rsidR="00F26B0A" w:rsidRDefault="00F26B0A">
    <w:pPr>
      <w:pStyle w:val="Sidehoved"/>
    </w:pPr>
    <w:bookmarkStart w:id="6" w:name="BIT_PrimaryHeader"/>
  </w:p>
  <w:bookmarkEnd w:id="6"/>
  <w:p w14:paraId="3BEEF52F" w14:textId="77777777" w:rsidR="00F26B0A" w:rsidRDefault="00F26B0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13C2" w14:textId="2A9EDFCB" w:rsidR="00F26B0A" w:rsidRPr="00E959A5" w:rsidRDefault="00F26B0A" w:rsidP="00EE0137">
    <w:r>
      <w:rPr>
        <w:noProof/>
      </w:rPr>
      <w:drawing>
        <wp:anchor distT="0" distB="0" distL="114300" distR="114300" simplePos="0" relativeHeight="251657216" behindDoc="0" locked="1" layoutInCell="1" allowOverlap="1" wp14:anchorId="42953EF8" wp14:editId="729D88F5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C5C1" w14:textId="77777777" w:rsidR="00F26B0A" w:rsidRDefault="00F26B0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D30BFB"/>
    <w:multiLevelType w:val="hybridMultilevel"/>
    <w:tmpl w:val="763A2748"/>
    <w:lvl w:ilvl="0" w:tplc="F9C224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C67742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3F4662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8D50EE"/>
    <w:multiLevelType w:val="hybridMultilevel"/>
    <w:tmpl w:val="FD94D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7A0DE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5B6673"/>
    <w:multiLevelType w:val="multilevel"/>
    <w:tmpl w:val="CE06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7" w15:restartNumberingAfterBreak="0">
    <w:nsid w:val="2C0049A4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30893EC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94F59D8"/>
    <w:multiLevelType w:val="hybridMultilevel"/>
    <w:tmpl w:val="1E307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E6D24"/>
    <w:multiLevelType w:val="hybridMultilevel"/>
    <w:tmpl w:val="5ACA5B8A"/>
    <w:lvl w:ilvl="0" w:tplc="6F8CDFA6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15A3"/>
    <w:multiLevelType w:val="hybridMultilevel"/>
    <w:tmpl w:val="A146A6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6B31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6630D"/>
    <w:multiLevelType w:val="hybridMultilevel"/>
    <w:tmpl w:val="5D82C7D0"/>
    <w:lvl w:ilvl="0" w:tplc="F9C224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118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DF66E4"/>
    <w:multiLevelType w:val="hybridMultilevel"/>
    <w:tmpl w:val="31808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C75"/>
    <w:multiLevelType w:val="hybridMultilevel"/>
    <w:tmpl w:val="8B106C9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66EFA"/>
    <w:multiLevelType w:val="hybridMultilevel"/>
    <w:tmpl w:val="6DDC3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49F"/>
    <w:multiLevelType w:val="hybridMultilevel"/>
    <w:tmpl w:val="E3B2C7E6"/>
    <w:lvl w:ilvl="0" w:tplc="2E74A874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073D7"/>
    <w:multiLevelType w:val="hybridMultilevel"/>
    <w:tmpl w:val="93EAF396"/>
    <w:lvl w:ilvl="0" w:tplc="1CA2D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0789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638C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7"/>
  </w:num>
  <w:num w:numId="13">
    <w:abstractNumId w:val="20"/>
  </w:num>
  <w:num w:numId="14">
    <w:abstractNumId w:val="8"/>
  </w:num>
  <w:num w:numId="15">
    <w:abstractNumId w:val="29"/>
  </w:num>
  <w:num w:numId="16">
    <w:abstractNumId w:val="30"/>
  </w:num>
  <w:num w:numId="17">
    <w:abstractNumId w:val="33"/>
  </w:num>
  <w:num w:numId="18">
    <w:abstractNumId w:val="24"/>
  </w:num>
  <w:num w:numId="19">
    <w:abstractNumId w:val="17"/>
  </w:num>
  <w:num w:numId="20">
    <w:abstractNumId w:val="32"/>
  </w:num>
  <w:num w:numId="21">
    <w:abstractNumId w:val="26"/>
  </w:num>
  <w:num w:numId="22">
    <w:abstractNumId w:val="9"/>
  </w:num>
  <w:num w:numId="23">
    <w:abstractNumId w:val="25"/>
  </w:num>
  <w:num w:numId="24">
    <w:abstractNumId w:val="28"/>
  </w:num>
  <w:num w:numId="25">
    <w:abstractNumId w:val="23"/>
  </w:num>
  <w:num w:numId="26">
    <w:abstractNumId w:val="21"/>
  </w:num>
  <w:num w:numId="27">
    <w:abstractNumId w:val="22"/>
  </w:num>
  <w:num w:numId="28">
    <w:abstractNumId w:val="31"/>
  </w:num>
  <w:num w:numId="29">
    <w:abstractNumId w:val="12"/>
  </w:num>
  <w:num w:numId="30">
    <w:abstractNumId w:val="34"/>
  </w:num>
  <w:num w:numId="31">
    <w:abstractNumId w:val="11"/>
  </w:num>
  <w:num w:numId="32">
    <w:abstractNumId w:val="15"/>
  </w:num>
  <w:num w:numId="33">
    <w:abstractNumId w:val="19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208"/>
    <w:rsid w:val="00003276"/>
    <w:rsid w:val="00003636"/>
    <w:rsid w:val="00005FAA"/>
    <w:rsid w:val="000103E0"/>
    <w:rsid w:val="000120D7"/>
    <w:rsid w:val="00013DC4"/>
    <w:rsid w:val="00014520"/>
    <w:rsid w:val="0001457C"/>
    <w:rsid w:val="00014F6B"/>
    <w:rsid w:val="0001528D"/>
    <w:rsid w:val="000166A0"/>
    <w:rsid w:val="00022A67"/>
    <w:rsid w:val="0002379F"/>
    <w:rsid w:val="000268AB"/>
    <w:rsid w:val="0002737D"/>
    <w:rsid w:val="00030051"/>
    <w:rsid w:val="00030FE6"/>
    <w:rsid w:val="00036D9B"/>
    <w:rsid w:val="00037E7E"/>
    <w:rsid w:val="0004033A"/>
    <w:rsid w:val="00040ECD"/>
    <w:rsid w:val="00043443"/>
    <w:rsid w:val="000445D4"/>
    <w:rsid w:val="00044AA0"/>
    <w:rsid w:val="00046FBE"/>
    <w:rsid w:val="00047E70"/>
    <w:rsid w:val="000605E5"/>
    <w:rsid w:val="00060BA8"/>
    <w:rsid w:val="00060BC5"/>
    <w:rsid w:val="00062707"/>
    <w:rsid w:val="00062DBE"/>
    <w:rsid w:val="000647F2"/>
    <w:rsid w:val="000663CC"/>
    <w:rsid w:val="00066A0C"/>
    <w:rsid w:val="00070BA1"/>
    <w:rsid w:val="00071624"/>
    <w:rsid w:val="000718BE"/>
    <w:rsid w:val="00073466"/>
    <w:rsid w:val="00074F1A"/>
    <w:rsid w:val="000758FD"/>
    <w:rsid w:val="00076340"/>
    <w:rsid w:val="0007665B"/>
    <w:rsid w:val="00082404"/>
    <w:rsid w:val="000825EC"/>
    <w:rsid w:val="00087169"/>
    <w:rsid w:val="0009197F"/>
    <w:rsid w:val="00092500"/>
    <w:rsid w:val="00092FC7"/>
    <w:rsid w:val="00095428"/>
    <w:rsid w:val="00096AA1"/>
    <w:rsid w:val="000A1C92"/>
    <w:rsid w:val="000A26F5"/>
    <w:rsid w:val="000A5F32"/>
    <w:rsid w:val="000A6228"/>
    <w:rsid w:val="000A7219"/>
    <w:rsid w:val="000A7AE4"/>
    <w:rsid w:val="000B079D"/>
    <w:rsid w:val="000B0EF1"/>
    <w:rsid w:val="000B26E7"/>
    <w:rsid w:val="000B2E5E"/>
    <w:rsid w:val="000B4FBF"/>
    <w:rsid w:val="000B5461"/>
    <w:rsid w:val="000B5530"/>
    <w:rsid w:val="000B6C36"/>
    <w:rsid w:val="000C0294"/>
    <w:rsid w:val="000C0594"/>
    <w:rsid w:val="000C13E6"/>
    <w:rsid w:val="000C1569"/>
    <w:rsid w:val="000C3D52"/>
    <w:rsid w:val="000C3FAD"/>
    <w:rsid w:val="000C4105"/>
    <w:rsid w:val="000C45B7"/>
    <w:rsid w:val="000C62D3"/>
    <w:rsid w:val="000C771C"/>
    <w:rsid w:val="000D0F4C"/>
    <w:rsid w:val="000D1B7B"/>
    <w:rsid w:val="000D1CF4"/>
    <w:rsid w:val="000D2FFB"/>
    <w:rsid w:val="000D5FB8"/>
    <w:rsid w:val="000D5FBF"/>
    <w:rsid w:val="000D600E"/>
    <w:rsid w:val="000D6676"/>
    <w:rsid w:val="000E179B"/>
    <w:rsid w:val="000E3992"/>
    <w:rsid w:val="000E42ED"/>
    <w:rsid w:val="000E6263"/>
    <w:rsid w:val="000E717B"/>
    <w:rsid w:val="000F0B81"/>
    <w:rsid w:val="000F5285"/>
    <w:rsid w:val="000F57C5"/>
    <w:rsid w:val="000F70DD"/>
    <w:rsid w:val="00101BAA"/>
    <w:rsid w:val="00103018"/>
    <w:rsid w:val="00104CB1"/>
    <w:rsid w:val="001062D0"/>
    <w:rsid w:val="0011061E"/>
    <w:rsid w:val="00110640"/>
    <w:rsid w:val="001125F8"/>
    <w:rsid w:val="00114306"/>
    <w:rsid w:val="00114DE6"/>
    <w:rsid w:val="0011633D"/>
    <w:rsid w:val="001173F4"/>
    <w:rsid w:val="001210A9"/>
    <w:rsid w:val="001244D6"/>
    <w:rsid w:val="0012529C"/>
    <w:rsid w:val="001354CC"/>
    <w:rsid w:val="00135BB2"/>
    <w:rsid w:val="0014150F"/>
    <w:rsid w:val="00144670"/>
    <w:rsid w:val="0014616C"/>
    <w:rsid w:val="00150899"/>
    <w:rsid w:val="00152CB8"/>
    <w:rsid w:val="00154300"/>
    <w:rsid w:val="00154DB0"/>
    <w:rsid w:val="00156908"/>
    <w:rsid w:val="00160721"/>
    <w:rsid w:val="00161D9E"/>
    <w:rsid w:val="00172097"/>
    <w:rsid w:val="001743E7"/>
    <w:rsid w:val="00175CF1"/>
    <w:rsid w:val="001766AD"/>
    <w:rsid w:val="00180AD0"/>
    <w:rsid w:val="0018769C"/>
    <w:rsid w:val="00190BAF"/>
    <w:rsid w:val="0019392B"/>
    <w:rsid w:val="00196F31"/>
    <w:rsid w:val="00197A14"/>
    <w:rsid w:val="001A3A9E"/>
    <w:rsid w:val="001A4D56"/>
    <w:rsid w:val="001A58BF"/>
    <w:rsid w:val="001A6CB5"/>
    <w:rsid w:val="001A7E4B"/>
    <w:rsid w:val="001B1E3E"/>
    <w:rsid w:val="001B3F10"/>
    <w:rsid w:val="001B4275"/>
    <w:rsid w:val="001B4C16"/>
    <w:rsid w:val="001B61B8"/>
    <w:rsid w:val="001B72A9"/>
    <w:rsid w:val="001C2544"/>
    <w:rsid w:val="001C3F8D"/>
    <w:rsid w:val="001C417D"/>
    <w:rsid w:val="001C4328"/>
    <w:rsid w:val="001C6975"/>
    <w:rsid w:val="001C7630"/>
    <w:rsid w:val="001C7F4A"/>
    <w:rsid w:val="001D1196"/>
    <w:rsid w:val="001D19D8"/>
    <w:rsid w:val="001D657D"/>
    <w:rsid w:val="001D76E8"/>
    <w:rsid w:val="001E38EF"/>
    <w:rsid w:val="001E63D8"/>
    <w:rsid w:val="001E7F16"/>
    <w:rsid w:val="001F031A"/>
    <w:rsid w:val="001F3A47"/>
    <w:rsid w:val="001F763E"/>
    <w:rsid w:val="00200ACE"/>
    <w:rsid w:val="00200B86"/>
    <w:rsid w:val="0020134B"/>
    <w:rsid w:val="002036C2"/>
    <w:rsid w:val="0020402C"/>
    <w:rsid w:val="002044E3"/>
    <w:rsid w:val="00204BF4"/>
    <w:rsid w:val="00206C9B"/>
    <w:rsid w:val="002075D4"/>
    <w:rsid w:val="00211AC9"/>
    <w:rsid w:val="002123AC"/>
    <w:rsid w:val="00212497"/>
    <w:rsid w:val="002152C4"/>
    <w:rsid w:val="002239C6"/>
    <w:rsid w:val="002252B1"/>
    <w:rsid w:val="002252EC"/>
    <w:rsid w:val="00225534"/>
    <w:rsid w:val="00235C1F"/>
    <w:rsid w:val="00235C87"/>
    <w:rsid w:val="002366E2"/>
    <w:rsid w:val="002418BA"/>
    <w:rsid w:val="00246CC1"/>
    <w:rsid w:val="00250919"/>
    <w:rsid w:val="00251052"/>
    <w:rsid w:val="002523DE"/>
    <w:rsid w:val="002525D3"/>
    <w:rsid w:val="002629A8"/>
    <w:rsid w:val="00262A31"/>
    <w:rsid w:val="002639DB"/>
    <w:rsid w:val="00264240"/>
    <w:rsid w:val="002654F9"/>
    <w:rsid w:val="00267F76"/>
    <w:rsid w:val="0027546B"/>
    <w:rsid w:val="0027629A"/>
    <w:rsid w:val="00283D52"/>
    <w:rsid w:val="00284176"/>
    <w:rsid w:val="00293240"/>
    <w:rsid w:val="002933E6"/>
    <w:rsid w:val="0029478F"/>
    <w:rsid w:val="0029629D"/>
    <w:rsid w:val="002A29B1"/>
    <w:rsid w:val="002A456B"/>
    <w:rsid w:val="002A6FC9"/>
    <w:rsid w:val="002A7860"/>
    <w:rsid w:val="002B2A81"/>
    <w:rsid w:val="002B2B20"/>
    <w:rsid w:val="002B7DCE"/>
    <w:rsid w:val="002C042D"/>
    <w:rsid w:val="002C4595"/>
    <w:rsid w:val="002C4D00"/>
    <w:rsid w:val="002C5540"/>
    <w:rsid w:val="002C6961"/>
    <w:rsid w:val="002C75AA"/>
    <w:rsid w:val="002D00C9"/>
    <w:rsid w:val="002D03C2"/>
    <w:rsid w:val="002D268E"/>
    <w:rsid w:val="002D5BBF"/>
    <w:rsid w:val="002D643B"/>
    <w:rsid w:val="002D7F0F"/>
    <w:rsid w:val="002E4348"/>
    <w:rsid w:val="002E49D7"/>
    <w:rsid w:val="002E5F8B"/>
    <w:rsid w:val="002E661A"/>
    <w:rsid w:val="002F1A4D"/>
    <w:rsid w:val="002F7E36"/>
    <w:rsid w:val="003001A2"/>
    <w:rsid w:val="00301154"/>
    <w:rsid w:val="003021AF"/>
    <w:rsid w:val="003033ED"/>
    <w:rsid w:val="00304DEB"/>
    <w:rsid w:val="00304F21"/>
    <w:rsid w:val="003052C8"/>
    <w:rsid w:val="003057CF"/>
    <w:rsid w:val="003059D9"/>
    <w:rsid w:val="003066C9"/>
    <w:rsid w:val="00307110"/>
    <w:rsid w:val="00310C3C"/>
    <w:rsid w:val="00313642"/>
    <w:rsid w:val="003153A8"/>
    <w:rsid w:val="003158C4"/>
    <w:rsid w:val="00315AC9"/>
    <w:rsid w:val="00315F17"/>
    <w:rsid w:val="003163E5"/>
    <w:rsid w:val="00320951"/>
    <w:rsid w:val="003209AA"/>
    <w:rsid w:val="00322BBE"/>
    <w:rsid w:val="0032353E"/>
    <w:rsid w:val="00326ED5"/>
    <w:rsid w:val="00331970"/>
    <w:rsid w:val="00334562"/>
    <w:rsid w:val="00335C83"/>
    <w:rsid w:val="00336B43"/>
    <w:rsid w:val="00336EBA"/>
    <w:rsid w:val="00337182"/>
    <w:rsid w:val="00341CCB"/>
    <w:rsid w:val="00343A37"/>
    <w:rsid w:val="00345FA9"/>
    <w:rsid w:val="00350582"/>
    <w:rsid w:val="0035116A"/>
    <w:rsid w:val="00353B4E"/>
    <w:rsid w:val="003558D9"/>
    <w:rsid w:val="00357D68"/>
    <w:rsid w:val="00362EAC"/>
    <w:rsid w:val="00365BC4"/>
    <w:rsid w:val="0036629E"/>
    <w:rsid w:val="00372137"/>
    <w:rsid w:val="0037544D"/>
    <w:rsid w:val="00375A74"/>
    <w:rsid w:val="00380EBE"/>
    <w:rsid w:val="003819FF"/>
    <w:rsid w:val="00383BA8"/>
    <w:rsid w:val="00384209"/>
    <w:rsid w:val="00385C06"/>
    <w:rsid w:val="00386D0C"/>
    <w:rsid w:val="00390E00"/>
    <w:rsid w:val="003911A3"/>
    <w:rsid w:val="0039243A"/>
    <w:rsid w:val="00392A7F"/>
    <w:rsid w:val="00397BF7"/>
    <w:rsid w:val="003A1DA4"/>
    <w:rsid w:val="003A2525"/>
    <w:rsid w:val="003A3350"/>
    <w:rsid w:val="003A3369"/>
    <w:rsid w:val="003A44A9"/>
    <w:rsid w:val="003A75D9"/>
    <w:rsid w:val="003B5CB8"/>
    <w:rsid w:val="003B6C74"/>
    <w:rsid w:val="003B7265"/>
    <w:rsid w:val="003C2B6F"/>
    <w:rsid w:val="003C4116"/>
    <w:rsid w:val="003C67E6"/>
    <w:rsid w:val="003D3CB2"/>
    <w:rsid w:val="003D518E"/>
    <w:rsid w:val="003D5C22"/>
    <w:rsid w:val="003E06B4"/>
    <w:rsid w:val="003E09D1"/>
    <w:rsid w:val="003E0BA5"/>
    <w:rsid w:val="003E1377"/>
    <w:rsid w:val="003E3617"/>
    <w:rsid w:val="003E7BD7"/>
    <w:rsid w:val="003E7D47"/>
    <w:rsid w:val="003F0D75"/>
    <w:rsid w:val="003F141D"/>
    <w:rsid w:val="003F2F53"/>
    <w:rsid w:val="003F56AE"/>
    <w:rsid w:val="00402EA6"/>
    <w:rsid w:val="0040464C"/>
    <w:rsid w:val="0040506D"/>
    <w:rsid w:val="00406784"/>
    <w:rsid w:val="00406AF1"/>
    <w:rsid w:val="00407A11"/>
    <w:rsid w:val="00407C2F"/>
    <w:rsid w:val="0041385B"/>
    <w:rsid w:val="00414BA2"/>
    <w:rsid w:val="00415BC0"/>
    <w:rsid w:val="0041750C"/>
    <w:rsid w:val="00417D87"/>
    <w:rsid w:val="004208E6"/>
    <w:rsid w:val="0042227B"/>
    <w:rsid w:val="004232F9"/>
    <w:rsid w:val="00432957"/>
    <w:rsid w:val="00433A1E"/>
    <w:rsid w:val="00434A05"/>
    <w:rsid w:val="00435271"/>
    <w:rsid w:val="004403B1"/>
    <w:rsid w:val="00440668"/>
    <w:rsid w:val="004421D7"/>
    <w:rsid w:val="00444C16"/>
    <w:rsid w:val="00444F0D"/>
    <w:rsid w:val="004451BE"/>
    <w:rsid w:val="00447B83"/>
    <w:rsid w:val="00450475"/>
    <w:rsid w:val="00451688"/>
    <w:rsid w:val="0045175D"/>
    <w:rsid w:val="00457882"/>
    <w:rsid w:val="0046095B"/>
    <w:rsid w:val="00460B5A"/>
    <w:rsid w:val="004613E9"/>
    <w:rsid w:val="00462239"/>
    <w:rsid w:val="0046268C"/>
    <w:rsid w:val="00462D21"/>
    <w:rsid w:val="00462F7F"/>
    <w:rsid w:val="0046600E"/>
    <w:rsid w:val="00467E79"/>
    <w:rsid w:val="00475065"/>
    <w:rsid w:val="00476722"/>
    <w:rsid w:val="00481EEB"/>
    <w:rsid w:val="00482ABE"/>
    <w:rsid w:val="004830C6"/>
    <w:rsid w:val="0048414C"/>
    <w:rsid w:val="0048667B"/>
    <w:rsid w:val="00486F50"/>
    <w:rsid w:val="00486FC3"/>
    <w:rsid w:val="0049121F"/>
    <w:rsid w:val="00491976"/>
    <w:rsid w:val="00491D17"/>
    <w:rsid w:val="00494B9F"/>
    <w:rsid w:val="00495993"/>
    <w:rsid w:val="00496330"/>
    <w:rsid w:val="004964C2"/>
    <w:rsid w:val="004A0046"/>
    <w:rsid w:val="004A0972"/>
    <w:rsid w:val="004A121B"/>
    <w:rsid w:val="004A3AAA"/>
    <w:rsid w:val="004A4315"/>
    <w:rsid w:val="004A4E41"/>
    <w:rsid w:val="004A74BA"/>
    <w:rsid w:val="004A7BBC"/>
    <w:rsid w:val="004B3799"/>
    <w:rsid w:val="004B5995"/>
    <w:rsid w:val="004B5AC3"/>
    <w:rsid w:val="004B6A8B"/>
    <w:rsid w:val="004B79D7"/>
    <w:rsid w:val="004C0742"/>
    <w:rsid w:val="004C0DD8"/>
    <w:rsid w:val="004C1158"/>
    <w:rsid w:val="004C1CAA"/>
    <w:rsid w:val="004C237E"/>
    <w:rsid w:val="004C491E"/>
    <w:rsid w:val="004C63FE"/>
    <w:rsid w:val="004D23C9"/>
    <w:rsid w:val="004D5630"/>
    <w:rsid w:val="004D6645"/>
    <w:rsid w:val="004E33EF"/>
    <w:rsid w:val="004E3643"/>
    <w:rsid w:val="004E418E"/>
    <w:rsid w:val="004E4DE1"/>
    <w:rsid w:val="004E562B"/>
    <w:rsid w:val="004E642A"/>
    <w:rsid w:val="004E676F"/>
    <w:rsid w:val="004E7C82"/>
    <w:rsid w:val="004F7C92"/>
    <w:rsid w:val="005009DC"/>
    <w:rsid w:val="00500EFC"/>
    <w:rsid w:val="00501E2E"/>
    <w:rsid w:val="0050634D"/>
    <w:rsid w:val="00514BCA"/>
    <w:rsid w:val="005154D3"/>
    <w:rsid w:val="0051781E"/>
    <w:rsid w:val="00517D9F"/>
    <w:rsid w:val="00520971"/>
    <w:rsid w:val="00521F18"/>
    <w:rsid w:val="005240D1"/>
    <w:rsid w:val="00525210"/>
    <w:rsid w:val="005267CB"/>
    <w:rsid w:val="00531869"/>
    <w:rsid w:val="00532F88"/>
    <w:rsid w:val="00534FEF"/>
    <w:rsid w:val="00535B7D"/>
    <w:rsid w:val="0054086A"/>
    <w:rsid w:val="005449B2"/>
    <w:rsid w:val="0054727D"/>
    <w:rsid w:val="005543C3"/>
    <w:rsid w:val="00554FAA"/>
    <w:rsid w:val="00555075"/>
    <w:rsid w:val="00555E4C"/>
    <w:rsid w:val="005618F9"/>
    <w:rsid w:val="00561948"/>
    <w:rsid w:val="005630B4"/>
    <w:rsid w:val="00563773"/>
    <w:rsid w:val="00565055"/>
    <w:rsid w:val="005650F2"/>
    <w:rsid w:val="00566F27"/>
    <w:rsid w:val="005672CB"/>
    <w:rsid w:val="00567CA5"/>
    <w:rsid w:val="00570BE5"/>
    <w:rsid w:val="0057149A"/>
    <w:rsid w:val="005745A3"/>
    <w:rsid w:val="00575CD1"/>
    <w:rsid w:val="00576B90"/>
    <w:rsid w:val="00577FCD"/>
    <w:rsid w:val="0058155D"/>
    <w:rsid w:val="0058243A"/>
    <w:rsid w:val="0058536B"/>
    <w:rsid w:val="00590A5B"/>
    <w:rsid w:val="00590C13"/>
    <w:rsid w:val="0059175F"/>
    <w:rsid w:val="00592E57"/>
    <w:rsid w:val="0059560E"/>
    <w:rsid w:val="00596C25"/>
    <w:rsid w:val="005A01E1"/>
    <w:rsid w:val="005A0290"/>
    <w:rsid w:val="005A1F29"/>
    <w:rsid w:val="005A29CB"/>
    <w:rsid w:val="005A50B9"/>
    <w:rsid w:val="005A65C6"/>
    <w:rsid w:val="005A6CAF"/>
    <w:rsid w:val="005A7A91"/>
    <w:rsid w:val="005B0361"/>
    <w:rsid w:val="005B39ED"/>
    <w:rsid w:val="005C4459"/>
    <w:rsid w:val="005C45F0"/>
    <w:rsid w:val="005C4F31"/>
    <w:rsid w:val="005C51A1"/>
    <w:rsid w:val="005D2B26"/>
    <w:rsid w:val="005D3CF2"/>
    <w:rsid w:val="005D543F"/>
    <w:rsid w:val="005D54E8"/>
    <w:rsid w:val="005D5932"/>
    <w:rsid w:val="005D7152"/>
    <w:rsid w:val="005E2CC4"/>
    <w:rsid w:val="005E352B"/>
    <w:rsid w:val="005E4484"/>
    <w:rsid w:val="005E593A"/>
    <w:rsid w:val="005E77EF"/>
    <w:rsid w:val="005F172E"/>
    <w:rsid w:val="005F2536"/>
    <w:rsid w:val="005F33E5"/>
    <w:rsid w:val="005F5E89"/>
    <w:rsid w:val="005F61FB"/>
    <w:rsid w:val="005F7AA2"/>
    <w:rsid w:val="00604DC5"/>
    <w:rsid w:val="006067F0"/>
    <w:rsid w:val="00607851"/>
    <w:rsid w:val="006079D5"/>
    <w:rsid w:val="00610541"/>
    <w:rsid w:val="00610A43"/>
    <w:rsid w:val="0061154F"/>
    <w:rsid w:val="00612296"/>
    <w:rsid w:val="00612694"/>
    <w:rsid w:val="00614F49"/>
    <w:rsid w:val="00615CB5"/>
    <w:rsid w:val="006161E8"/>
    <w:rsid w:val="006164D2"/>
    <w:rsid w:val="006215F1"/>
    <w:rsid w:val="006217FF"/>
    <w:rsid w:val="00623A75"/>
    <w:rsid w:val="0063273A"/>
    <w:rsid w:val="00632DB3"/>
    <w:rsid w:val="00632EB9"/>
    <w:rsid w:val="00634647"/>
    <w:rsid w:val="00636165"/>
    <w:rsid w:val="00641AE1"/>
    <w:rsid w:val="0065103E"/>
    <w:rsid w:val="006514CA"/>
    <w:rsid w:val="00653155"/>
    <w:rsid w:val="00655780"/>
    <w:rsid w:val="00656763"/>
    <w:rsid w:val="00656C96"/>
    <w:rsid w:val="0066474B"/>
    <w:rsid w:val="006665A1"/>
    <w:rsid w:val="00667525"/>
    <w:rsid w:val="006706E8"/>
    <w:rsid w:val="00671029"/>
    <w:rsid w:val="0067771A"/>
    <w:rsid w:val="00677C82"/>
    <w:rsid w:val="00684AA9"/>
    <w:rsid w:val="00684B85"/>
    <w:rsid w:val="006866B8"/>
    <w:rsid w:val="0068783F"/>
    <w:rsid w:val="006903FC"/>
    <w:rsid w:val="00693A78"/>
    <w:rsid w:val="00693C92"/>
    <w:rsid w:val="00696E85"/>
    <w:rsid w:val="006A0C40"/>
    <w:rsid w:val="006A18C5"/>
    <w:rsid w:val="006B6641"/>
    <w:rsid w:val="006B7C55"/>
    <w:rsid w:val="006C2729"/>
    <w:rsid w:val="006C3E7D"/>
    <w:rsid w:val="006D09A7"/>
    <w:rsid w:val="006D4837"/>
    <w:rsid w:val="006D6AFC"/>
    <w:rsid w:val="006D7E88"/>
    <w:rsid w:val="006E065C"/>
    <w:rsid w:val="006E2BE9"/>
    <w:rsid w:val="006E3DD6"/>
    <w:rsid w:val="006E4721"/>
    <w:rsid w:val="006E643D"/>
    <w:rsid w:val="006E702F"/>
    <w:rsid w:val="006E7F1D"/>
    <w:rsid w:val="006F3EB3"/>
    <w:rsid w:val="006F4DCD"/>
    <w:rsid w:val="00702FF2"/>
    <w:rsid w:val="00703B56"/>
    <w:rsid w:val="00703B66"/>
    <w:rsid w:val="0070547E"/>
    <w:rsid w:val="00705800"/>
    <w:rsid w:val="00705EAB"/>
    <w:rsid w:val="00714D40"/>
    <w:rsid w:val="00716C9F"/>
    <w:rsid w:val="00723455"/>
    <w:rsid w:val="00724762"/>
    <w:rsid w:val="00724D6D"/>
    <w:rsid w:val="00724F74"/>
    <w:rsid w:val="00725F3E"/>
    <w:rsid w:val="00726337"/>
    <w:rsid w:val="00734687"/>
    <w:rsid w:val="0073474C"/>
    <w:rsid w:val="0073754C"/>
    <w:rsid w:val="00741B6C"/>
    <w:rsid w:val="007424C1"/>
    <w:rsid w:val="00744FB2"/>
    <w:rsid w:val="0074716F"/>
    <w:rsid w:val="0074737F"/>
    <w:rsid w:val="00751E72"/>
    <w:rsid w:val="00753673"/>
    <w:rsid w:val="007540BD"/>
    <w:rsid w:val="00757957"/>
    <w:rsid w:val="00760C4F"/>
    <w:rsid w:val="00760D90"/>
    <w:rsid w:val="007616A9"/>
    <w:rsid w:val="00762205"/>
    <w:rsid w:val="0076323D"/>
    <w:rsid w:val="00764201"/>
    <w:rsid w:val="0076672C"/>
    <w:rsid w:val="0077532B"/>
    <w:rsid w:val="0078113B"/>
    <w:rsid w:val="007830BE"/>
    <w:rsid w:val="00783CD4"/>
    <w:rsid w:val="007863CC"/>
    <w:rsid w:val="007879C4"/>
    <w:rsid w:val="007912B3"/>
    <w:rsid w:val="0079398C"/>
    <w:rsid w:val="00793AC6"/>
    <w:rsid w:val="007940C9"/>
    <w:rsid w:val="00796312"/>
    <w:rsid w:val="007A3667"/>
    <w:rsid w:val="007A50B0"/>
    <w:rsid w:val="007A5A9B"/>
    <w:rsid w:val="007B1B23"/>
    <w:rsid w:val="007B21FA"/>
    <w:rsid w:val="007B2ADE"/>
    <w:rsid w:val="007B3940"/>
    <w:rsid w:val="007B60CA"/>
    <w:rsid w:val="007C77CD"/>
    <w:rsid w:val="007D44E3"/>
    <w:rsid w:val="007D492E"/>
    <w:rsid w:val="007E0C49"/>
    <w:rsid w:val="007E1AD5"/>
    <w:rsid w:val="007E3A3B"/>
    <w:rsid w:val="007E51F2"/>
    <w:rsid w:val="007E5E97"/>
    <w:rsid w:val="007E7688"/>
    <w:rsid w:val="007F0CCB"/>
    <w:rsid w:val="007F0E5A"/>
    <w:rsid w:val="007F1422"/>
    <w:rsid w:val="007F28F0"/>
    <w:rsid w:val="007F4A4B"/>
    <w:rsid w:val="007F770C"/>
    <w:rsid w:val="00802CB9"/>
    <w:rsid w:val="0080360E"/>
    <w:rsid w:val="00806C85"/>
    <w:rsid w:val="00807692"/>
    <w:rsid w:val="00807BA4"/>
    <w:rsid w:val="0081165C"/>
    <w:rsid w:val="00813A83"/>
    <w:rsid w:val="008152A1"/>
    <w:rsid w:val="00815409"/>
    <w:rsid w:val="0081693A"/>
    <w:rsid w:val="00821133"/>
    <w:rsid w:val="008222DB"/>
    <w:rsid w:val="00823455"/>
    <w:rsid w:val="00826970"/>
    <w:rsid w:val="008316B1"/>
    <w:rsid w:val="008324B0"/>
    <w:rsid w:val="00833901"/>
    <w:rsid w:val="00833A82"/>
    <w:rsid w:val="00834500"/>
    <w:rsid w:val="00836021"/>
    <w:rsid w:val="008407EC"/>
    <w:rsid w:val="008415F4"/>
    <w:rsid w:val="00842836"/>
    <w:rsid w:val="0084333E"/>
    <w:rsid w:val="0084379B"/>
    <w:rsid w:val="00843883"/>
    <w:rsid w:val="00844CA9"/>
    <w:rsid w:val="00845B0A"/>
    <w:rsid w:val="008462A0"/>
    <w:rsid w:val="00847491"/>
    <w:rsid w:val="00850194"/>
    <w:rsid w:val="0085289A"/>
    <w:rsid w:val="00854BF3"/>
    <w:rsid w:val="008559E9"/>
    <w:rsid w:val="00860D2C"/>
    <w:rsid w:val="00861CBA"/>
    <w:rsid w:val="00861CFC"/>
    <w:rsid w:val="00862386"/>
    <w:rsid w:val="00863B4C"/>
    <w:rsid w:val="00872AC0"/>
    <w:rsid w:val="008737AF"/>
    <w:rsid w:val="00875531"/>
    <w:rsid w:val="008774E7"/>
    <w:rsid w:val="00882741"/>
    <w:rsid w:val="00885896"/>
    <w:rsid w:val="00885CBD"/>
    <w:rsid w:val="00887615"/>
    <w:rsid w:val="00892B13"/>
    <w:rsid w:val="008934A5"/>
    <w:rsid w:val="0089579C"/>
    <w:rsid w:val="008A00F6"/>
    <w:rsid w:val="008A1C6B"/>
    <w:rsid w:val="008A3536"/>
    <w:rsid w:val="008A3EF8"/>
    <w:rsid w:val="008A61F9"/>
    <w:rsid w:val="008B0293"/>
    <w:rsid w:val="008B1B83"/>
    <w:rsid w:val="008B1BF0"/>
    <w:rsid w:val="008B3313"/>
    <w:rsid w:val="008B374C"/>
    <w:rsid w:val="008B3ADA"/>
    <w:rsid w:val="008B4536"/>
    <w:rsid w:val="008B54BB"/>
    <w:rsid w:val="008B6F11"/>
    <w:rsid w:val="008B7F3A"/>
    <w:rsid w:val="008C06AA"/>
    <w:rsid w:val="008C3273"/>
    <w:rsid w:val="008C50A6"/>
    <w:rsid w:val="008C5F4A"/>
    <w:rsid w:val="008D1674"/>
    <w:rsid w:val="008D65B0"/>
    <w:rsid w:val="008D77C8"/>
    <w:rsid w:val="008E015A"/>
    <w:rsid w:val="008E0D8E"/>
    <w:rsid w:val="008E3990"/>
    <w:rsid w:val="008E4669"/>
    <w:rsid w:val="008F17E5"/>
    <w:rsid w:val="008F272E"/>
    <w:rsid w:val="008F3132"/>
    <w:rsid w:val="008F38B2"/>
    <w:rsid w:val="008F6B2B"/>
    <w:rsid w:val="00904088"/>
    <w:rsid w:val="009058B6"/>
    <w:rsid w:val="00905C37"/>
    <w:rsid w:val="00905FB7"/>
    <w:rsid w:val="00906916"/>
    <w:rsid w:val="0091412D"/>
    <w:rsid w:val="0092514B"/>
    <w:rsid w:val="009264AA"/>
    <w:rsid w:val="009273F4"/>
    <w:rsid w:val="00934568"/>
    <w:rsid w:val="00935FBC"/>
    <w:rsid w:val="00942CDB"/>
    <w:rsid w:val="00942D5F"/>
    <w:rsid w:val="00944EE8"/>
    <w:rsid w:val="009461F0"/>
    <w:rsid w:val="00955096"/>
    <w:rsid w:val="009601F5"/>
    <w:rsid w:val="009627A1"/>
    <w:rsid w:val="00962816"/>
    <w:rsid w:val="00963E43"/>
    <w:rsid w:val="00963F8C"/>
    <w:rsid w:val="00970F21"/>
    <w:rsid w:val="00971789"/>
    <w:rsid w:val="00972E72"/>
    <w:rsid w:val="00974540"/>
    <w:rsid w:val="00975D36"/>
    <w:rsid w:val="00975F3B"/>
    <w:rsid w:val="00977BA4"/>
    <w:rsid w:val="00981279"/>
    <w:rsid w:val="0098313D"/>
    <w:rsid w:val="0098382A"/>
    <w:rsid w:val="00987E37"/>
    <w:rsid w:val="00991E84"/>
    <w:rsid w:val="00992103"/>
    <w:rsid w:val="009943CD"/>
    <w:rsid w:val="00994DBC"/>
    <w:rsid w:val="00994E91"/>
    <w:rsid w:val="00995E7B"/>
    <w:rsid w:val="00997C9A"/>
    <w:rsid w:val="009A1940"/>
    <w:rsid w:val="009A34B7"/>
    <w:rsid w:val="009A75F7"/>
    <w:rsid w:val="009B379B"/>
    <w:rsid w:val="009C0BCF"/>
    <w:rsid w:val="009C37F8"/>
    <w:rsid w:val="009C6BB2"/>
    <w:rsid w:val="009C744D"/>
    <w:rsid w:val="009D39DC"/>
    <w:rsid w:val="009D428E"/>
    <w:rsid w:val="009E27B6"/>
    <w:rsid w:val="009E46B7"/>
    <w:rsid w:val="009E512E"/>
    <w:rsid w:val="009E7920"/>
    <w:rsid w:val="009F1446"/>
    <w:rsid w:val="009F1EB5"/>
    <w:rsid w:val="009F368F"/>
    <w:rsid w:val="009F39DA"/>
    <w:rsid w:val="009F3E75"/>
    <w:rsid w:val="009F4367"/>
    <w:rsid w:val="009F5432"/>
    <w:rsid w:val="009F578C"/>
    <w:rsid w:val="009F5F5B"/>
    <w:rsid w:val="009F684D"/>
    <w:rsid w:val="009F7033"/>
    <w:rsid w:val="00A011F0"/>
    <w:rsid w:val="00A03CE6"/>
    <w:rsid w:val="00A03E48"/>
    <w:rsid w:val="00A0427A"/>
    <w:rsid w:val="00A04589"/>
    <w:rsid w:val="00A04E83"/>
    <w:rsid w:val="00A05D3B"/>
    <w:rsid w:val="00A11F5A"/>
    <w:rsid w:val="00A1448E"/>
    <w:rsid w:val="00A158CB"/>
    <w:rsid w:val="00A17348"/>
    <w:rsid w:val="00A235D4"/>
    <w:rsid w:val="00A24A07"/>
    <w:rsid w:val="00A30BA8"/>
    <w:rsid w:val="00A31C65"/>
    <w:rsid w:val="00A31EF6"/>
    <w:rsid w:val="00A31F9C"/>
    <w:rsid w:val="00A34B40"/>
    <w:rsid w:val="00A36292"/>
    <w:rsid w:val="00A36D64"/>
    <w:rsid w:val="00A37269"/>
    <w:rsid w:val="00A3749F"/>
    <w:rsid w:val="00A44A6B"/>
    <w:rsid w:val="00A46CE2"/>
    <w:rsid w:val="00A51DBA"/>
    <w:rsid w:val="00A5408B"/>
    <w:rsid w:val="00A556CE"/>
    <w:rsid w:val="00A603FB"/>
    <w:rsid w:val="00A611C6"/>
    <w:rsid w:val="00A624B3"/>
    <w:rsid w:val="00A67D37"/>
    <w:rsid w:val="00A72DDE"/>
    <w:rsid w:val="00A7402A"/>
    <w:rsid w:val="00A7693A"/>
    <w:rsid w:val="00A77855"/>
    <w:rsid w:val="00A83764"/>
    <w:rsid w:val="00A85ECD"/>
    <w:rsid w:val="00A91042"/>
    <w:rsid w:val="00A923E2"/>
    <w:rsid w:val="00A964CE"/>
    <w:rsid w:val="00A96B2D"/>
    <w:rsid w:val="00A96C60"/>
    <w:rsid w:val="00AA4437"/>
    <w:rsid w:val="00AA5D7A"/>
    <w:rsid w:val="00AB363A"/>
    <w:rsid w:val="00AB5A12"/>
    <w:rsid w:val="00AB63C0"/>
    <w:rsid w:val="00AC1D69"/>
    <w:rsid w:val="00AC30C2"/>
    <w:rsid w:val="00AC35D6"/>
    <w:rsid w:val="00AD4D59"/>
    <w:rsid w:val="00AD659F"/>
    <w:rsid w:val="00AD678B"/>
    <w:rsid w:val="00AD7AF9"/>
    <w:rsid w:val="00AE3ADA"/>
    <w:rsid w:val="00AE41A1"/>
    <w:rsid w:val="00AE5A17"/>
    <w:rsid w:val="00AF19BC"/>
    <w:rsid w:val="00AF2B01"/>
    <w:rsid w:val="00AF5AF6"/>
    <w:rsid w:val="00AF6B5A"/>
    <w:rsid w:val="00AF7567"/>
    <w:rsid w:val="00B03A10"/>
    <w:rsid w:val="00B03FCF"/>
    <w:rsid w:val="00B04D39"/>
    <w:rsid w:val="00B06E7B"/>
    <w:rsid w:val="00B07670"/>
    <w:rsid w:val="00B10AE1"/>
    <w:rsid w:val="00B13BB6"/>
    <w:rsid w:val="00B152B9"/>
    <w:rsid w:val="00B25567"/>
    <w:rsid w:val="00B2565D"/>
    <w:rsid w:val="00B30727"/>
    <w:rsid w:val="00B33A35"/>
    <w:rsid w:val="00B3497E"/>
    <w:rsid w:val="00B358B3"/>
    <w:rsid w:val="00B36511"/>
    <w:rsid w:val="00B441D7"/>
    <w:rsid w:val="00B4601E"/>
    <w:rsid w:val="00B46762"/>
    <w:rsid w:val="00B471CC"/>
    <w:rsid w:val="00B54207"/>
    <w:rsid w:val="00B54633"/>
    <w:rsid w:val="00B56AAF"/>
    <w:rsid w:val="00B61872"/>
    <w:rsid w:val="00B6225B"/>
    <w:rsid w:val="00B66358"/>
    <w:rsid w:val="00B67E21"/>
    <w:rsid w:val="00B71F70"/>
    <w:rsid w:val="00B7263A"/>
    <w:rsid w:val="00B734BB"/>
    <w:rsid w:val="00B7728E"/>
    <w:rsid w:val="00B77950"/>
    <w:rsid w:val="00B80522"/>
    <w:rsid w:val="00B80700"/>
    <w:rsid w:val="00B81B85"/>
    <w:rsid w:val="00B86940"/>
    <w:rsid w:val="00B87347"/>
    <w:rsid w:val="00B90A33"/>
    <w:rsid w:val="00B912F1"/>
    <w:rsid w:val="00B913AD"/>
    <w:rsid w:val="00B91712"/>
    <w:rsid w:val="00B91D48"/>
    <w:rsid w:val="00B932C3"/>
    <w:rsid w:val="00B9791C"/>
    <w:rsid w:val="00BA0D23"/>
    <w:rsid w:val="00BA2B46"/>
    <w:rsid w:val="00BA7059"/>
    <w:rsid w:val="00BB0946"/>
    <w:rsid w:val="00BB280C"/>
    <w:rsid w:val="00BB3291"/>
    <w:rsid w:val="00BB40C8"/>
    <w:rsid w:val="00BB55B8"/>
    <w:rsid w:val="00BB608E"/>
    <w:rsid w:val="00BB6985"/>
    <w:rsid w:val="00BB7517"/>
    <w:rsid w:val="00BB7FA8"/>
    <w:rsid w:val="00BC31CE"/>
    <w:rsid w:val="00BC56EA"/>
    <w:rsid w:val="00BC6602"/>
    <w:rsid w:val="00BD082D"/>
    <w:rsid w:val="00BD3C2F"/>
    <w:rsid w:val="00BD5427"/>
    <w:rsid w:val="00BD787B"/>
    <w:rsid w:val="00BE0CE4"/>
    <w:rsid w:val="00BE4FAD"/>
    <w:rsid w:val="00BE7D68"/>
    <w:rsid w:val="00BF101A"/>
    <w:rsid w:val="00BF1D47"/>
    <w:rsid w:val="00BF33D1"/>
    <w:rsid w:val="00C02282"/>
    <w:rsid w:val="00C02B55"/>
    <w:rsid w:val="00C03ED1"/>
    <w:rsid w:val="00C05669"/>
    <w:rsid w:val="00C12B26"/>
    <w:rsid w:val="00C1301A"/>
    <w:rsid w:val="00C1503E"/>
    <w:rsid w:val="00C16955"/>
    <w:rsid w:val="00C1707F"/>
    <w:rsid w:val="00C21584"/>
    <w:rsid w:val="00C2184A"/>
    <w:rsid w:val="00C2186E"/>
    <w:rsid w:val="00C227CE"/>
    <w:rsid w:val="00C22C94"/>
    <w:rsid w:val="00C23138"/>
    <w:rsid w:val="00C246C1"/>
    <w:rsid w:val="00C248B1"/>
    <w:rsid w:val="00C26117"/>
    <w:rsid w:val="00C26BA3"/>
    <w:rsid w:val="00C32F08"/>
    <w:rsid w:val="00C3559B"/>
    <w:rsid w:val="00C4124B"/>
    <w:rsid w:val="00C41BBD"/>
    <w:rsid w:val="00C42409"/>
    <w:rsid w:val="00C44477"/>
    <w:rsid w:val="00C44620"/>
    <w:rsid w:val="00C454D9"/>
    <w:rsid w:val="00C52BC5"/>
    <w:rsid w:val="00C53CED"/>
    <w:rsid w:val="00C56CAE"/>
    <w:rsid w:val="00C5716B"/>
    <w:rsid w:val="00C57362"/>
    <w:rsid w:val="00C57CA7"/>
    <w:rsid w:val="00C6033D"/>
    <w:rsid w:val="00C617FE"/>
    <w:rsid w:val="00C62E7D"/>
    <w:rsid w:val="00C633B5"/>
    <w:rsid w:val="00C64AA0"/>
    <w:rsid w:val="00C64F3D"/>
    <w:rsid w:val="00C65982"/>
    <w:rsid w:val="00C7051E"/>
    <w:rsid w:val="00C70BEA"/>
    <w:rsid w:val="00C71B04"/>
    <w:rsid w:val="00C72CC7"/>
    <w:rsid w:val="00C766CC"/>
    <w:rsid w:val="00C76B7D"/>
    <w:rsid w:val="00C81AE4"/>
    <w:rsid w:val="00C8406C"/>
    <w:rsid w:val="00C85159"/>
    <w:rsid w:val="00C86AC6"/>
    <w:rsid w:val="00C87AAA"/>
    <w:rsid w:val="00C94E96"/>
    <w:rsid w:val="00CA1FCC"/>
    <w:rsid w:val="00CA3CF2"/>
    <w:rsid w:val="00CA543F"/>
    <w:rsid w:val="00CA6429"/>
    <w:rsid w:val="00CA6954"/>
    <w:rsid w:val="00CA6ADF"/>
    <w:rsid w:val="00CB2AB1"/>
    <w:rsid w:val="00CB46C1"/>
    <w:rsid w:val="00CB5C14"/>
    <w:rsid w:val="00CC12A8"/>
    <w:rsid w:val="00CC3891"/>
    <w:rsid w:val="00CC4756"/>
    <w:rsid w:val="00CC6892"/>
    <w:rsid w:val="00CD0A20"/>
    <w:rsid w:val="00CD16B9"/>
    <w:rsid w:val="00CD31FE"/>
    <w:rsid w:val="00CD478A"/>
    <w:rsid w:val="00CD4F1D"/>
    <w:rsid w:val="00CD6911"/>
    <w:rsid w:val="00CE1EC6"/>
    <w:rsid w:val="00CE5201"/>
    <w:rsid w:val="00CE5A8E"/>
    <w:rsid w:val="00CF0A56"/>
    <w:rsid w:val="00CF1627"/>
    <w:rsid w:val="00CF760D"/>
    <w:rsid w:val="00D008ED"/>
    <w:rsid w:val="00D01984"/>
    <w:rsid w:val="00D01B52"/>
    <w:rsid w:val="00D01EDA"/>
    <w:rsid w:val="00D03C44"/>
    <w:rsid w:val="00D0445C"/>
    <w:rsid w:val="00D045D5"/>
    <w:rsid w:val="00D06600"/>
    <w:rsid w:val="00D06FB3"/>
    <w:rsid w:val="00D11308"/>
    <w:rsid w:val="00D11C28"/>
    <w:rsid w:val="00D120F3"/>
    <w:rsid w:val="00D1359B"/>
    <w:rsid w:val="00D16472"/>
    <w:rsid w:val="00D21523"/>
    <w:rsid w:val="00D23CB7"/>
    <w:rsid w:val="00D30F1A"/>
    <w:rsid w:val="00D321C9"/>
    <w:rsid w:val="00D33ED1"/>
    <w:rsid w:val="00D353A2"/>
    <w:rsid w:val="00D37FC2"/>
    <w:rsid w:val="00D40263"/>
    <w:rsid w:val="00D42D6C"/>
    <w:rsid w:val="00D43DB0"/>
    <w:rsid w:val="00D448FD"/>
    <w:rsid w:val="00D45A87"/>
    <w:rsid w:val="00D5053D"/>
    <w:rsid w:val="00D5240C"/>
    <w:rsid w:val="00D528A1"/>
    <w:rsid w:val="00D53311"/>
    <w:rsid w:val="00D53D4D"/>
    <w:rsid w:val="00D570C5"/>
    <w:rsid w:val="00D65E69"/>
    <w:rsid w:val="00D74210"/>
    <w:rsid w:val="00D744D6"/>
    <w:rsid w:val="00D74512"/>
    <w:rsid w:val="00D749FF"/>
    <w:rsid w:val="00D81332"/>
    <w:rsid w:val="00D81A23"/>
    <w:rsid w:val="00D90297"/>
    <w:rsid w:val="00D922CF"/>
    <w:rsid w:val="00D951B4"/>
    <w:rsid w:val="00D953A6"/>
    <w:rsid w:val="00DA1C00"/>
    <w:rsid w:val="00DA32B3"/>
    <w:rsid w:val="00DA657A"/>
    <w:rsid w:val="00DA6734"/>
    <w:rsid w:val="00DB2761"/>
    <w:rsid w:val="00DB35B8"/>
    <w:rsid w:val="00DB483C"/>
    <w:rsid w:val="00DB4C3B"/>
    <w:rsid w:val="00DB56B3"/>
    <w:rsid w:val="00DC223C"/>
    <w:rsid w:val="00DC35FE"/>
    <w:rsid w:val="00DC3614"/>
    <w:rsid w:val="00DC36EB"/>
    <w:rsid w:val="00DC4C35"/>
    <w:rsid w:val="00DC7890"/>
    <w:rsid w:val="00DD1B8C"/>
    <w:rsid w:val="00DD3A9D"/>
    <w:rsid w:val="00DE089A"/>
    <w:rsid w:val="00DE1229"/>
    <w:rsid w:val="00DE24BE"/>
    <w:rsid w:val="00DE2DD1"/>
    <w:rsid w:val="00DE323A"/>
    <w:rsid w:val="00DE42E9"/>
    <w:rsid w:val="00DE5B21"/>
    <w:rsid w:val="00DE7479"/>
    <w:rsid w:val="00DF128B"/>
    <w:rsid w:val="00DF2F94"/>
    <w:rsid w:val="00DF3FBC"/>
    <w:rsid w:val="00E00FEE"/>
    <w:rsid w:val="00E06AEA"/>
    <w:rsid w:val="00E1113C"/>
    <w:rsid w:val="00E11688"/>
    <w:rsid w:val="00E236FD"/>
    <w:rsid w:val="00E25252"/>
    <w:rsid w:val="00E25CC2"/>
    <w:rsid w:val="00E26EAA"/>
    <w:rsid w:val="00E27C92"/>
    <w:rsid w:val="00E27CC3"/>
    <w:rsid w:val="00E30FCA"/>
    <w:rsid w:val="00E32BE0"/>
    <w:rsid w:val="00E36F97"/>
    <w:rsid w:val="00E42057"/>
    <w:rsid w:val="00E44C4F"/>
    <w:rsid w:val="00E44EC0"/>
    <w:rsid w:val="00E55048"/>
    <w:rsid w:val="00E62BEE"/>
    <w:rsid w:val="00E63075"/>
    <w:rsid w:val="00E638C0"/>
    <w:rsid w:val="00E642F4"/>
    <w:rsid w:val="00E644BF"/>
    <w:rsid w:val="00E64D1D"/>
    <w:rsid w:val="00E661B1"/>
    <w:rsid w:val="00E670B6"/>
    <w:rsid w:val="00E708CA"/>
    <w:rsid w:val="00E724FF"/>
    <w:rsid w:val="00E739B0"/>
    <w:rsid w:val="00E73A40"/>
    <w:rsid w:val="00E73F49"/>
    <w:rsid w:val="00E746C5"/>
    <w:rsid w:val="00E806E3"/>
    <w:rsid w:val="00E81697"/>
    <w:rsid w:val="00E83293"/>
    <w:rsid w:val="00E861F1"/>
    <w:rsid w:val="00E870ED"/>
    <w:rsid w:val="00E87D86"/>
    <w:rsid w:val="00E928D4"/>
    <w:rsid w:val="00E94852"/>
    <w:rsid w:val="00EA2966"/>
    <w:rsid w:val="00EA4D25"/>
    <w:rsid w:val="00EA576F"/>
    <w:rsid w:val="00EA7844"/>
    <w:rsid w:val="00EA7C27"/>
    <w:rsid w:val="00EB0255"/>
    <w:rsid w:val="00EB1291"/>
    <w:rsid w:val="00EB3838"/>
    <w:rsid w:val="00EB4C77"/>
    <w:rsid w:val="00EB68CC"/>
    <w:rsid w:val="00EC1285"/>
    <w:rsid w:val="00EC2095"/>
    <w:rsid w:val="00EC5E51"/>
    <w:rsid w:val="00EC73AF"/>
    <w:rsid w:val="00EC76B0"/>
    <w:rsid w:val="00EC7C45"/>
    <w:rsid w:val="00ED4786"/>
    <w:rsid w:val="00ED48AE"/>
    <w:rsid w:val="00ED4BD4"/>
    <w:rsid w:val="00EE0137"/>
    <w:rsid w:val="00EE4DEB"/>
    <w:rsid w:val="00EE65A7"/>
    <w:rsid w:val="00EF0127"/>
    <w:rsid w:val="00EF0741"/>
    <w:rsid w:val="00EF48EC"/>
    <w:rsid w:val="00EF58B4"/>
    <w:rsid w:val="00EF6016"/>
    <w:rsid w:val="00EF69CE"/>
    <w:rsid w:val="00F03131"/>
    <w:rsid w:val="00F05521"/>
    <w:rsid w:val="00F05E03"/>
    <w:rsid w:val="00F101A4"/>
    <w:rsid w:val="00F1406A"/>
    <w:rsid w:val="00F163F5"/>
    <w:rsid w:val="00F163FD"/>
    <w:rsid w:val="00F175B6"/>
    <w:rsid w:val="00F2061A"/>
    <w:rsid w:val="00F26829"/>
    <w:rsid w:val="00F26B0A"/>
    <w:rsid w:val="00F26BC5"/>
    <w:rsid w:val="00F30057"/>
    <w:rsid w:val="00F33F5F"/>
    <w:rsid w:val="00F33FFD"/>
    <w:rsid w:val="00F34750"/>
    <w:rsid w:val="00F34C21"/>
    <w:rsid w:val="00F35C38"/>
    <w:rsid w:val="00F35DBF"/>
    <w:rsid w:val="00F40588"/>
    <w:rsid w:val="00F41E23"/>
    <w:rsid w:val="00F426EC"/>
    <w:rsid w:val="00F46114"/>
    <w:rsid w:val="00F47B3A"/>
    <w:rsid w:val="00F47BDE"/>
    <w:rsid w:val="00F5282D"/>
    <w:rsid w:val="00F56AD0"/>
    <w:rsid w:val="00F602C8"/>
    <w:rsid w:val="00F62595"/>
    <w:rsid w:val="00F62908"/>
    <w:rsid w:val="00F63FE6"/>
    <w:rsid w:val="00F643A0"/>
    <w:rsid w:val="00F66408"/>
    <w:rsid w:val="00F7168A"/>
    <w:rsid w:val="00F71C13"/>
    <w:rsid w:val="00F74562"/>
    <w:rsid w:val="00F75399"/>
    <w:rsid w:val="00F77228"/>
    <w:rsid w:val="00F860D9"/>
    <w:rsid w:val="00F90567"/>
    <w:rsid w:val="00F91352"/>
    <w:rsid w:val="00F91911"/>
    <w:rsid w:val="00F922ED"/>
    <w:rsid w:val="00F94BAA"/>
    <w:rsid w:val="00F95FBB"/>
    <w:rsid w:val="00F976F4"/>
    <w:rsid w:val="00F97820"/>
    <w:rsid w:val="00FA25CC"/>
    <w:rsid w:val="00FB19B4"/>
    <w:rsid w:val="00FB5557"/>
    <w:rsid w:val="00FB5FA5"/>
    <w:rsid w:val="00FB7ADE"/>
    <w:rsid w:val="00FC164F"/>
    <w:rsid w:val="00FC1FCD"/>
    <w:rsid w:val="00FC2F50"/>
    <w:rsid w:val="00FC46B4"/>
    <w:rsid w:val="00FD0067"/>
    <w:rsid w:val="00FD2036"/>
    <w:rsid w:val="00FD2E0F"/>
    <w:rsid w:val="00FD6183"/>
    <w:rsid w:val="00FD6E54"/>
    <w:rsid w:val="00FE2E0B"/>
    <w:rsid w:val="00FE45B3"/>
    <w:rsid w:val="00FE45CE"/>
    <w:rsid w:val="00FE63EF"/>
    <w:rsid w:val="00FE78D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  <w14:docId w14:val="1D18EC06"/>
  <w15:docId w15:val="{39F3AD01-1004-4A08-AC74-7A2FACA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4D"/>
  </w:style>
  <w:style w:type="paragraph" w:styleId="Overskrift1">
    <w:name w:val="heading 1"/>
    <w:basedOn w:val="Normal"/>
    <w:next w:val="Normal"/>
    <w:uiPriority w:val="1"/>
    <w:qFormat/>
    <w:rsid w:val="001B61B8"/>
    <w:pPr>
      <w:keepNext/>
      <w:numPr>
        <w:numId w:val="34"/>
      </w:numPr>
      <w:spacing w:before="260"/>
      <w:contextualSpacing/>
      <w:outlineLvl w:val="0"/>
    </w:pPr>
    <w:rPr>
      <w:rFonts w:ascii="Arial" w:hAnsi="Arial" w:cs="Arial"/>
      <w:b/>
      <w:bCs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B61B8"/>
    <w:pPr>
      <w:keepNext/>
      <w:keepLines/>
      <w:numPr>
        <w:ilvl w:val="1"/>
        <w:numId w:val="34"/>
      </w:numPr>
      <w:spacing w:before="260"/>
      <w:contextualSpacing/>
      <w:outlineLvl w:val="1"/>
    </w:pPr>
    <w:rPr>
      <w:rFonts w:ascii="Arial" w:eastAsiaTheme="majorEastAsia" w:hAnsi="Arial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87E37"/>
    <w:pPr>
      <w:keepNext/>
      <w:keepLines/>
      <w:numPr>
        <w:ilvl w:val="2"/>
        <w:numId w:val="34"/>
      </w:numPr>
      <w:spacing w:before="260"/>
      <w:contextualSpacing/>
      <w:outlineLvl w:val="2"/>
    </w:pPr>
    <w:rPr>
      <w:rFonts w:ascii="Arial" w:eastAsiaTheme="majorEastAsia" w:hAnsi="Arial" w:cstheme="majorBidi"/>
      <w:bCs/>
      <w:color w:val="003127"/>
      <w:u w:val="single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numPr>
        <w:ilvl w:val="3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B61B8"/>
    <w:rPr>
      <w:rFonts w:ascii="Arial" w:eastAsiaTheme="majorEastAsia" w:hAnsi="Arial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87E37"/>
    <w:rPr>
      <w:rFonts w:ascii="Arial" w:eastAsiaTheme="majorEastAsia" w:hAnsi="Arial" w:cstheme="majorBidi"/>
      <w:bCs/>
      <w:color w:val="003127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styleId="Korrektur">
    <w:name w:val="Revision"/>
    <w:hidden/>
    <w:uiPriority w:val="99"/>
    <w:semiHidden/>
    <w:rsid w:val="00532F88"/>
    <w:pPr>
      <w:spacing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B5FA5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AF2B01"/>
    <w:rPr>
      <w:sz w:val="14"/>
    </w:rPr>
  </w:style>
  <w:style w:type="character" w:customStyle="1" w:styleId="Ulstomtale10">
    <w:name w:val="Uløst omtale1"/>
    <w:basedOn w:val="Standardskrifttypeiafsnit"/>
    <w:uiPriority w:val="99"/>
    <w:semiHidden/>
    <w:unhideWhenUsed/>
    <w:rsid w:val="003163E5"/>
    <w:rPr>
      <w:color w:val="605E5C"/>
      <w:shd w:val="clear" w:color="auto" w:fill="E1DFDD"/>
    </w:rPr>
  </w:style>
  <w:style w:type="paragraph" w:customStyle="1" w:styleId="Eksempler">
    <w:name w:val="Eksempler"/>
    <w:basedOn w:val="Normal"/>
    <w:link w:val="EksemplerTegn"/>
    <w:qFormat/>
    <w:rsid w:val="000663CC"/>
    <w:pPr>
      <w:shd w:val="clear" w:color="E5F3ED" w:themeColor="background2" w:fill="4AA17C" w:themeFill="background2" w:themeFillShade="80"/>
    </w:pPr>
    <w:rPr>
      <w:rFonts w:ascii="Arial" w:hAnsi="Arial"/>
      <w:color w:val="FFFFFF" w:themeColor="background1"/>
    </w:rPr>
  </w:style>
  <w:style w:type="character" w:customStyle="1" w:styleId="EksemplerTegn">
    <w:name w:val="Eksempler Tegn"/>
    <w:basedOn w:val="Standardskrifttypeiafsnit"/>
    <w:link w:val="Eksempler"/>
    <w:rsid w:val="000663CC"/>
    <w:rPr>
      <w:rFonts w:ascii="Arial" w:hAnsi="Arial"/>
      <w:color w:val="FFFFFF" w:themeColor="background1"/>
      <w:shd w:val="clear" w:color="E5F3ED" w:themeColor="background2" w:fill="4AA17C" w:themeFill="background2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ds.mst.d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st.dk/media/4ondydcq/webinar-off-mst-praesentation-vedr-estimering-af-reel-genanvendelse-for-mw-og-emballage-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Excel-regneark.xlsx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mst.dk/Udgiv/publikationer/2023/10/978-87-7038-566-4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affaldsdatasystem@mst.d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it.mst.dk/media/jlmdizl1/vejledning-for-kommunerne-om-adgang-til-affaldsdatasystemet3.pdf" TargetMode="External"/><Relationship Id="rId1" Type="http://schemas.openxmlformats.org/officeDocument/2006/relationships/hyperlink" Target="https://edit.mst.dk/media/5whfr15l/vejledning-til-rettelse-af-indberetning-i-affaldsdataportalen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1D48C684E1B44A65955425324A1E2" ma:contentTypeVersion="4" ma:contentTypeDescription="Create a new document." ma:contentTypeScope="" ma:versionID="03b5b261be3c9cc46fe3ac9e86501aa4">
  <xsd:schema xmlns:xsd="http://www.w3.org/2001/XMLSchema" xmlns:xs="http://www.w3.org/2001/XMLSchema" xmlns:p="http://schemas.microsoft.com/office/2006/metadata/properties" xmlns:ns2="040963b5-322c-4ecc-9857-723d9a4d49d7" targetNamespace="http://schemas.microsoft.com/office/2006/metadata/properties" ma:root="true" ma:fieldsID="0bf8dc80142b80b4629b1ef70635f0d8" ns2:_="">
    <xsd:import namespace="040963b5-322c-4ecc-9857-723d9a4d4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63b5-322c-4ecc-9857-723d9a4d4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6BEF-F8FF-4395-B9B2-2D341EED2DA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40963b5-322c-4ecc-9857-723d9a4d49d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3EE6F2-E757-4A1B-9311-EB4653A9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63b5-322c-4ecc-9857-723d9a4d4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0C973-7AC0-430C-B89F-D21D33C47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680CB-6BDD-4076-AF9D-4F8401D8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3020</Words>
  <Characters>19598</Characters>
  <Application>Microsoft Office Word</Application>
  <DocSecurity>0</DocSecurity>
  <Lines>163</Lines>
  <Paragraphs>45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Line Geest Jakobsen</dc:creator>
  <cp:keywords/>
  <dc:description/>
  <cp:lastModifiedBy>Ninna Henneberg Andersen</cp:lastModifiedBy>
  <cp:revision>21</cp:revision>
  <cp:lastPrinted>2005-05-20T12:11:00Z</cp:lastPrinted>
  <dcterms:created xsi:type="dcterms:W3CDTF">2024-06-20T07:29:00Z</dcterms:created>
  <dcterms:modified xsi:type="dcterms:W3CDTF">2024-06-25T13:23:00Z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45048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RAANT</vt:lpwstr>
  </property>
  <property fmtid="{D5CDD505-2E9C-101B-9397-08002B2CF9AE}" pid="17" name="SD_CtlText_Generelt_CaseNoF2">
    <vt:lpwstr>2022 - 69569</vt:lpwstr>
  </property>
  <property fmtid="{D5CDD505-2E9C-101B-9397-08002B2CF9AE}" pid="18" name="SD_UserprofileName">
    <vt:lpwstr>RAANT</vt:lpwstr>
  </property>
  <property fmtid="{D5CDD505-2E9C-101B-9397-08002B2CF9AE}" pid="19" name="SD_Office_OFF_ID">
    <vt:lpwstr>32</vt:lpwstr>
  </property>
  <property fmtid="{D5CDD505-2E9C-101B-9397-08002B2CF9AE}" pid="20" name="CurrentOfficeID">
    <vt:lpwstr>32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Cirkulær Økonomi &amp; Affald</vt:lpwstr>
  </property>
  <property fmtid="{D5CDD505-2E9C-101B-9397-08002B2CF9AE}" pid="27" name="SD_Office_OFF_Department">
    <vt:lpwstr>Cirkulær Økonomi &amp; Affald</vt:lpwstr>
  </property>
  <property fmtid="{D5CDD505-2E9C-101B-9397-08002B2CF9AE}" pid="28" name="SD_Office_OFF_Department_EN">
    <vt:lpwstr>Circular Economy and Waste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Rasmus Andreas Tønder</vt:lpwstr>
  </property>
  <property fmtid="{D5CDD505-2E9C-101B-9397-08002B2CF9AE}" pid="49" name="USR_Initials">
    <vt:lpwstr>RAANT</vt:lpwstr>
  </property>
  <property fmtid="{D5CDD505-2E9C-101B-9397-08002B2CF9AE}" pid="50" name="USR_Title">
    <vt:lpwstr>Fuldmægtig</vt:lpwstr>
  </property>
  <property fmtid="{D5CDD505-2E9C-101B-9397-08002B2CF9AE}" pid="51" name="USR_DirectPhone">
    <vt:lpwstr>+45 23 66 12 81</vt:lpwstr>
  </property>
  <property fmtid="{D5CDD505-2E9C-101B-9397-08002B2CF9AE}" pid="52" name="USR_Mobile">
    <vt:lpwstr>+45 23 66 12 81</vt:lpwstr>
  </property>
  <property fmtid="{D5CDD505-2E9C-101B-9397-08002B2CF9AE}" pid="53" name="USR_Email">
    <vt:lpwstr>raant@mst.dk</vt:lpwstr>
  </property>
  <property fmtid="{D5CDD505-2E9C-101B-9397-08002B2CF9AE}" pid="54" name="DocumentInfoFinished">
    <vt:lpwstr>True</vt:lpwstr>
  </property>
  <property fmtid="{D5CDD505-2E9C-101B-9397-08002B2CF9AE}" pid="55" name="ContentTypeId">
    <vt:lpwstr>0x0101003E71D48C684E1B44A65955425324A1E2</vt:lpwstr>
  </property>
  <property fmtid="{D5CDD505-2E9C-101B-9397-08002B2CF9AE}" pid="56" name="MediaServiceImageTags">
    <vt:lpwstr/>
  </property>
</Properties>
</file>