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45" w:rsidRDefault="004D1545" w:rsidP="004D1545">
      <w:bookmarkStart w:id="0" w:name="_GoBack"/>
      <w:bookmarkEnd w:id="0"/>
    </w:p>
    <w:p w:rsidR="004D1545" w:rsidRDefault="004D1545" w:rsidP="004D1545"/>
    <w:p w:rsidR="004D1545" w:rsidRPr="00A34F77" w:rsidRDefault="003D6780" w:rsidP="004D1545">
      <w:pPr>
        <w:rPr>
          <w:b/>
          <w:sz w:val="32"/>
        </w:rPr>
      </w:pPr>
      <w:r>
        <w:rPr>
          <w:b/>
          <w:sz w:val="32"/>
        </w:rPr>
        <w:t xml:space="preserve">Supplerende produkteksempler </w:t>
      </w:r>
      <w:r w:rsidR="004D1545" w:rsidRPr="00A34F77">
        <w:rPr>
          <w:b/>
          <w:sz w:val="32"/>
        </w:rPr>
        <w:t>til Vejledning fra Miljøstyrelsen nr. 5, 2014</w:t>
      </w:r>
    </w:p>
    <w:p w:rsidR="004D1545" w:rsidRDefault="004D1545" w:rsidP="004D1545"/>
    <w:p w:rsidR="004D1545" w:rsidRDefault="004D1545" w:rsidP="004D1545">
      <w:r>
        <w:t>På baggrund af analyseresultaterne fra projektet ”</w:t>
      </w:r>
      <w:r w:rsidRPr="004D1545">
        <w:t>Frigivelse af nanomaterialer fra blæk- og tonerpatroner til printere</w:t>
      </w:r>
      <w:r>
        <w:t>” opstilles der i indeværende notat</w:t>
      </w:r>
      <w:r w:rsidR="003D6780">
        <w:t xml:space="preserve"> tre supplerende produkteksempler </w:t>
      </w:r>
      <w:r>
        <w:t xml:space="preserve">til vejledningen samt de tilhørende bilag. </w:t>
      </w:r>
    </w:p>
    <w:p w:rsidR="004D1545" w:rsidRDefault="004D1545" w:rsidP="004D1545"/>
    <w:p w:rsidR="004D1545" w:rsidRDefault="004D1545" w:rsidP="004D1545">
      <w:r>
        <w:t xml:space="preserve">I </w:t>
      </w:r>
      <w:r w:rsidR="002A4B6E">
        <w:t>projektet</w:t>
      </w:r>
      <w:r>
        <w:t xml:space="preserve"> er der kun inkluderet et mindre udvalg af tilgængelig blæk- og tonerpatroner på det danske marked. De testede blæk- og tonerpatroner er udvalgt i samarbejde med Miljøstyrelsen. </w:t>
      </w:r>
    </w:p>
    <w:p w:rsidR="004D1545" w:rsidRDefault="004D1545" w:rsidP="004D1545"/>
    <w:p w:rsidR="004D1545" w:rsidRDefault="004D1545" w:rsidP="004D1545">
      <w:r>
        <w:t xml:space="preserve">For at kunne udarbejde </w:t>
      </w:r>
      <w:r w:rsidR="003D6780">
        <w:t>produkteksempler</w:t>
      </w:r>
      <w:r>
        <w:t xml:space="preserve">, som er generelle for alle toner- og blækpatroner, er det i det nedenstående antaget, at de </w:t>
      </w:r>
      <w:r w:rsidR="002A4B6E">
        <w:t xml:space="preserve">i projektet </w:t>
      </w:r>
      <w:r>
        <w:t xml:space="preserve">analyserede produkter er repræsentative for produktgruppen. </w:t>
      </w:r>
    </w:p>
    <w:p w:rsidR="004D1545" w:rsidRDefault="004D1545" w:rsidP="004D1545"/>
    <w:p w:rsidR="004D1545" w:rsidRDefault="004D1545" w:rsidP="004D1545">
      <w:r>
        <w:t xml:space="preserve">Som opsummeret i rapportens afsnit 4.3, kan der drages </w:t>
      </w:r>
      <w:r w:rsidR="00006A4F">
        <w:t>tre</w:t>
      </w:r>
      <w:r>
        <w:t xml:space="preserve"> overordnede konklusioner af analysearbejdet</w:t>
      </w:r>
      <w:r w:rsidR="00006A4F">
        <w:t xml:space="preserve"> og litteraturstudiet</w:t>
      </w:r>
      <w:r>
        <w:t xml:space="preserve">: </w:t>
      </w:r>
    </w:p>
    <w:p w:rsidR="004D1545" w:rsidRDefault="004D1545" w:rsidP="004D1545"/>
    <w:p w:rsidR="00006A4F" w:rsidRDefault="00006A4F" w:rsidP="00006A4F">
      <w:pPr>
        <w:pStyle w:val="Opstilling-talellerbogst"/>
      </w:pPr>
      <w:r>
        <w:t>I modsætning til nogle tidligere studier, er der ved de i nærværende projekt gennemførte analyser,</w:t>
      </w:r>
      <w:r w:rsidRPr="007874D9">
        <w:t xml:space="preserve"> </w:t>
      </w:r>
      <w:r>
        <w:t>med</w:t>
      </w:r>
      <w:r w:rsidRPr="007874D9">
        <w:t xml:space="preserve"> det </w:t>
      </w:r>
      <w:r>
        <w:t>anvendte</w:t>
      </w:r>
      <w:r w:rsidRPr="007874D9">
        <w:t xml:space="preserve"> </w:t>
      </w:r>
      <w:proofErr w:type="spellStart"/>
      <w:r w:rsidRPr="007874D9">
        <w:t>målesetup</w:t>
      </w:r>
      <w:proofErr w:type="spellEnd"/>
      <w:r>
        <w:t xml:space="preserve">, </w:t>
      </w:r>
      <w:r w:rsidRPr="007874D9">
        <w:t xml:space="preserve">ikke målt frigivelse af faste nanopartikler for de </w:t>
      </w:r>
      <w:r>
        <w:t xml:space="preserve">inkluderede laserprintere. </w:t>
      </w:r>
    </w:p>
    <w:p w:rsidR="00006A4F" w:rsidRDefault="00006A4F" w:rsidP="00006A4F">
      <w:pPr>
        <w:pStyle w:val="Opstilling-talellerbogst"/>
      </w:pPr>
      <w:r w:rsidRPr="00006A4F">
        <w:t xml:space="preserve">For de inkluderede </w:t>
      </w:r>
      <w:proofErr w:type="spellStart"/>
      <w:r w:rsidRPr="00006A4F">
        <w:t>inkjet</w:t>
      </w:r>
      <w:proofErr w:type="spellEnd"/>
      <w:r w:rsidRPr="00006A4F">
        <w:t xml:space="preserve">-printere er der ikke målt frigivelse af faste nanopartikler, ligesom der i forbindelse med litteratursøgningen ikke blev identificeret litteratur som indikerer, at der frigives </w:t>
      </w:r>
      <w:proofErr w:type="spellStart"/>
      <w:r w:rsidRPr="00006A4F">
        <w:t>nanopartikler</w:t>
      </w:r>
      <w:proofErr w:type="spellEnd"/>
      <w:r w:rsidRPr="00006A4F">
        <w:t xml:space="preserve"> fra </w:t>
      </w:r>
      <w:proofErr w:type="spellStart"/>
      <w:r w:rsidRPr="00006A4F">
        <w:t>inkjet</w:t>
      </w:r>
      <w:proofErr w:type="spellEnd"/>
      <w:r w:rsidRPr="00006A4F">
        <w:t xml:space="preserve">-printere.    </w:t>
      </w:r>
    </w:p>
    <w:p w:rsidR="004D1545" w:rsidRDefault="004D1545" w:rsidP="004D1545">
      <w:pPr>
        <w:pStyle w:val="Opstilling-talellerbogst"/>
      </w:pPr>
      <w:r>
        <w:t xml:space="preserve">Under genopfyldning af én tonerpatron blev der målt en betydelig frigivelse af nanomaterialer </w:t>
      </w:r>
    </w:p>
    <w:p w:rsidR="004D1545" w:rsidRDefault="004D1545" w:rsidP="004D1545"/>
    <w:p w:rsidR="004D1545" w:rsidRDefault="004D1545" w:rsidP="004D1545">
      <w:r>
        <w:t>På baggrund af (1)</w:t>
      </w:r>
      <w:r w:rsidR="00006A4F">
        <w:t>, (2) og (3</w:t>
      </w:r>
      <w:r>
        <w:t xml:space="preserve">), vil der i det nedenstående blive </w:t>
      </w:r>
      <w:r w:rsidR="003D6780">
        <w:t>præsenteret tre supplerende produkteksempler</w:t>
      </w:r>
      <w:r>
        <w:t xml:space="preserve"> tekstforslag til den nuværende vejledning til </w:t>
      </w:r>
      <w:proofErr w:type="spellStart"/>
      <w:r>
        <w:t>nanoproduktregistret</w:t>
      </w:r>
      <w:proofErr w:type="spellEnd"/>
      <w:r>
        <w:t xml:space="preserve">. </w:t>
      </w:r>
    </w:p>
    <w:p w:rsidR="004D1545" w:rsidRDefault="004D1545" w:rsidP="004D1545"/>
    <w:p w:rsidR="004D1545" w:rsidRPr="004D1545" w:rsidRDefault="003D6780" w:rsidP="004D1545">
      <w:pPr>
        <w:rPr>
          <w:b/>
        </w:rPr>
      </w:pPr>
      <w:bookmarkStart w:id="1" w:name="_Toc423006449"/>
      <w:r>
        <w:rPr>
          <w:b/>
        </w:rPr>
        <w:t>A</w:t>
      </w:r>
      <w:r w:rsidR="004D1545" w:rsidRPr="004D1545">
        <w:rPr>
          <w:b/>
        </w:rPr>
        <w:t>fsnit 2.1 i vejledningen</w:t>
      </w:r>
      <w:bookmarkEnd w:id="1"/>
    </w:p>
    <w:p w:rsidR="004D1545" w:rsidRDefault="004D1545" w:rsidP="004D1545">
      <w:r>
        <w:t>I tabellen under ”7: Kan nanomaterialet frigives?” tilføjes følgende eksempler:</w:t>
      </w:r>
    </w:p>
    <w:p w:rsidR="00A70336" w:rsidRDefault="00A70336" w:rsidP="004D1545">
      <w:pPr>
        <w:pStyle w:val="Opstilling-punkttegn"/>
      </w:pPr>
      <w:r>
        <w:t>Tonerpatroner til laserprintere</w:t>
      </w:r>
    </w:p>
    <w:p w:rsidR="004D1545" w:rsidRDefault="004D1545" w:rsidP="004D1545">
      <w:pPr>
        <w:pStyle w:val="Opstilling-punkttegn"/>
      </w:pPr>
      <w:r>
        <w:t>Blækpatron</w:t>
      </w:r>
      <w:r w:rsidR="00A70336">
        <w:t xml:space="preserve">er til </w:t>
      </w:r>
      <w:proofErr w:type="spellStart"/>
      <w:r w:rsidR="00A70336">
        <w:t>inkjetprintere</w:t>
      </w:r>
      <w:proofErr w:type="spellEnd"/>
    </w:p>
    <w:p w:rsidR="004D1545" w:rsidRDefault="004D1545" w:rsidP="004D1545">
      <w:pPr>
        <w:pStyle w:val="Opstilling-punkttegn"/>
      </w:pPr>
      <w:r>
        <w:t>Toner til genopfyldning af tonerpatron</w:t>
      </w:r>
      <w:r w:rsidR="00A70336">
        <w:t>er</w:t>
      </w:r>
      <w:r>
        <w:t xml:space="preserve"> </w:t>
      </w:r>
    </w:p>
    <w:p w:rsidR="004D1545" w:rsidRPr="004D1545" w:rsidRDefault="004D1545" w:rsidP="004D1545">
      <w:pPr>
        <w:rPr>
          <w:b/>
        </w:rPr>
      </w:pPr>
    </w:p>
    <w:p w:rsidR="004D1545" w:rsidRPr="004D1545" w:rsidRDefault="003D6780" w:rsidP="004D1545">
      <w:pPr>
        <w:rPr>
          <w:b/>
        </w:rPr>
      </w:pPr>
      <w:bookmarkStart w:id="2" w:name="_Toc423006450"/>
      <w:proofErr w:type="gramStart"/>
      <w:r>
        <w:rPr>
          <w:b/>
        </w:rPr>
        <w:t xml:space="preserve">Tilføjelser </w:t>
      </w:r>
      <w:r w:rsidR="004D1545" w:rsidRPr="004D1545">
        <w:rPr>
          <w:b/>
        </w:rPr>
        <w:t xml:space="preserve"> –</w:t>
      </w:r>
      <w:proofErr w:type="gramEnd"/>
      <w:r w:rsidR="004D1545" w:rsidRPr="004D1545">
        <w:rPr>
          <w:b/>
        </w:rPr>
        <w:t xml:space="preserve"> bilag 2</w:t>
      </w:r>
      <w:bookmarkEnd w:id="2"/>
    </w:p>
    <w:p w:rsidR="004D1545" w:rsidRDefault="004D1545" w:rsidP="004D1545">
      <w:r>
        <w:t>Tilføjelse af t</w:t>
      </w:r>
      <w:r w:rsidR="00A70336">
        <w:t>re</w:t>
      </w:r>
      <w:r>
        <w:t xml:space="preserve"> yderligere produkteksempler:</w:t>
      </w:r>
    </w:p>
    <w:p w:rsidR="004D1545" w:rsidRDefault="004D1545" w:rsidP="004D1545">
      <w:pPr>
        <w:rPr>
          <w:i/>
        </w:rPr>
      </w:pPr>
    </w:p>
    <w:p w:rsidR="004D1545" w:rsidRDefault="004D1545" w:rsidP="004D1545">
      <w:pPr>
        <w:rPr>
          <w:b/>
        </w:rPr>
      </w:pPr>
      <w:r>
        <w:rPr>
          <w:b/>
        </w:rPr>
        <w:t>19 –</w:t>
      </w:r>
      <w:r w:rsidR="00A70336">
        <w:rPr>
          <w:b/>
        </w:rPr>
        <w:t xml:space="preserve">Tonerpatroner til laserprintere </w:t>
      </w:r>
      <w:r>
        <w:rPr>
          <w:b/>
        </w:rPr>
        <w:t xml:space="preserve"> </w:t>
      </w:r>
    </w:p>
    <w:p w:rsidR="004D1545" w:rsidRDefault="004D1545" w:rsidP="004D1545">
      <w:pPr>
        <w:rPr>
          <w:i/>
        </w:rPr>
      </w:pPr>
    </w:p>
    <w:p w:rsidR="004D1545" w:rsidRDefault="004D1545" w:rsidP="004D1545">
      <w:pPr>
        <w:rPr>
          <w:i/>
        </w:rPr>
      </w:pPr>
      <w:r>
        <w:rPr>
          <w:i/>
        </w:rPr>
        <w:t>Produkteksempel</w:t>
      </w:r>
    </w:p>
    <w:p w:rsidR="004D1545" w:rsidRDefault="004D1545" w:rsidP="004D1545">
      <w:r>
        <w:t xml:space="preserve">Du importerer </w:t>
      </w:r>
      <w:r w:rsidR="00A70336">
        <w:t>toner</w:t>
      </w:r>
      <w:r>
        <w:t>patroner</w:t>
      </w:r>
      <w:r w:rsidR="00A70336">
        <w:t xml:space="preserve"> til laserprintere</w:t>
      </w:r>
      <w:r>
        <w:t>.</w:t>
      </w:r>
    </w:p>
    <w:p w:rsidR="004D1545" w:rsidRDefault="004D1545" w:rsidP="004D1545"/>
    <w:p w:rsidR="004D1545" w:rsidRDefault="004D1545" w:rsidP="004D1545">
      <w:pPr>
        <w:rPr>
          <w:i/>
        </w:rPr>
      </w:pPr>
      <w:r>
        <w:rPr>
          <w:i/>
        </w:rPr>
        <w:t>Overvejelser</w:t>
      </w:r>
    </w:p>
    <w:p w:rsidR="004D1545" w:rsidRDefault="004D1545" w:rsidP="004D1545">
      <w:r>
        <w:t>Da dine produkter markedsføres til private (Vejledningens figur 2 pkt. 1), og da dine produkter ikke er omfattet af andre regler om nanoprodukter (Vejledningens figur 2 pkt. 2), er dine produkter omfattet af bekendtgørelsen. Du skal derfor afklare, om dine produkter indeholder nanomaterialer, som betyder, at de er omfattet af indberetningspligten, og du forsætter til Figur 3 i vejledningen.</w:t>
      </w:r>
    </w:p>
    <w:p w:rsidR="004D1545" w:rsidRDefault="004D1545" w:rsidP="004D1545"/>
    <w:tbl>
      <w:tblPr>
        <w:tblpPr w:leftFromText="284" w:rightFromText="284" w:topFromText="284" w:bottomFromText="284" w:vertAnchor="text" w:horzAnchor="margin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</w:tblGrid>
      <w:tr w:rsidR="004D1545" w:rsidTr="004D1545">
        <w:trPr>
          <w:trHeight w:val="2333"/>
        </w:trPr>
        <w:tc>
          <w:tcPr>
            <w:tcW w:w="3969" w:type="dxa"/>
            <w:hideMark/>
          </w:tcPr>
          <w:p w:rsidR="004D1545" w:rsidRDefault="006876DA">
            <w:pPr>
              <w:jc w:val="center"/>
            </w:pPr>
            <w:r>
              <w:rPr>
                <w:rFonts w:ascii="Verdana" w:hAnsi="Verdana"/>
                <w:noProof/>
                <w:color w:val="44546A"/>
                <w:sz w:val="20"/>
                <w:szCs w:val="20"/>
                <w:lang w:eastAsia="da-DK"/>
              </w:rPr>
              <w:lastRenderedPageBreak/>
              <w:drawing>
                <wp:inline distT="0" distB="0" distL="0" distR="0">
                  <wp:extent cx="2465070" cy="5231765"/>
                  <wp:effectExtent l="0" t="0" r="0" b="0"/>
                  <wp:docPr id="5" name="Billede 5" descr="cid:image004.png@01D0DB5C.B9E39B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 descr="cid:image004.png@01D0DB5C.B9E39B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070" cy="523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545" w:rsidTr="004D1545">
        <w:trPr>
          <w:trHeight w:val="27"/>
        </w:trPr>
        <w:tc>
          <w:tcPr>
            <w:tcW w:w="3969" w:type="dxa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4D1545" w:rsidRDefault="004D1545">
            <w:pPr>
              <w:pStyle w:val="FigurCaption"/>
            </w:pPr>
            <w:r>
              <w:rPr>
                <w:noProof/>
              </w:rPr>
              <w:t>Billede</w:t>
            </w:r>
            <w:r>
              <w:t xml:space="preserve">  </w:t>
            </w:r>
            <w:fldSimple w:instr=" SEQ Figur \* ARABIC ">
              <w:r w:rsidR="00CD0D25">
                <w:rPr>
                  <w:noProof/>
                </w:rPr>
                <w:t>1</w:t>
              </w:r>
            </w:fldSimple>
          </w:p>
          <w:p w:rsidR="004D1545" w:rsidRDefault="004D1545">
            <w:pPr>
              <w:pStyle w:val="Figurtekst"/>
            </w:pPr>
            <w:r>
              <w:fldChar w:fldCharType="begin"/>
            </w:r>
            <w:r>
              <w:instrText xml:space="preserve"> MACROBUTTON  NoName [Tekst]</w:instrText>
            </w:r>
            <w:r>
              <w:fldChar w:fldCharType="end"/>
            </w:r>
          </w:p>
        </w:tc>
      </w:tr>
    </w:tbl>
    <w:p w:rsidR="004D1545" w:rsidRDefault="004D1545" w:rsidP="004D1545">
      <w:r>
        <w:rPr>
          <w:b/>
        </w:rPr>
        <w:t>Pkt. 3.</w:t>
      </w:r>
      <w:r>
        <w:t xml:space="preserve"> Efter kontakt til din leverandør ved du, at dine produkter indeholder et pigment i nanostørrelse. Leverandøren oplyser også, at der ikke er andre nanomaterialer i produkterne, og du fortsætter til næste punkt.</w:t>
      </w:r>
    </w:p>
    <w:p w:rsidR="004D1545" w:rsidRDefault="004D1545" w:rsidP="004D1545">
      <w:r>
        <w:rPr>
          <w:b/>
        </w:rPr>
        <w:t xml:space="preserve">Pkt. 4. </w:t>
      </w:r>
      <w:r>
        <w:t>Da dine produkter ikke falder under de nævnte produktgrupper, skal du fortsætte til næste punkt.</w:t>
      </w:r>
    </w:p>
    <w:p w:rsidR="004D1545" w:rsidRDefault="004D1545" w:rsidP="004D1545">
      <w:r>
        <w:rPr>
          <w:b/>
        </w:rPr>
        <w:t xml:space="preserve">Pkt. 5. </w:t>
      </w:r>
      <w:r>
        <w:t>Pigmentet er fremstillet og efterfølgende kemisk modificeret og er derfor ikke naturligt forekommende</w:t>
      </w:r>
    </w:p>
    <w:p w:rsidR="004D1545" w:rsidRDefault="004D1545" w:rsidP="004D1545">
      <w:r>
        <w:rPr>
          <w:b/>
        </w:rPr>
        <w:t xml:space="preserve">Pkt. 6. </w:t>
      </w:r>
      <w:r>
        <w:t>Pigmentet er bevidst fremstillet i nanostørrelse for at opnå de ønskede farveegenskaber.</w:t>
      </w:r>
    </w:p>
    <w:p w:rsidR="004D1545" w:rsidRDefault="004D1545" w:rsidP="004D1545">
      <w:pPr>
        <w:rPr>
          <w:b/>
        </w:rPr>
      </w:pPr>
      <w:r>
        <w:rPr>
          <w:b/>
        </w:rPr>
        <w:t xml:space="preserve">Pkt. 7. </w:t>
      </w:r>
      <w:r w:rsidR="00A70336">
        <w:t>På</w:t>
      </w:r>
      <w:r w:rsidR="00A70336" w:rsidRPr="00A70336">
        <w:t xml:space="preserve"> baggrund</w:t>
      </w:r>
      <w:r w:rsidR="00A70336">
        <w:t xml:space="preserve"> af en række gennemførte undersøgelser kan det ikke entydigt afgøres om det tilsatte nanomateriale frigives </w:t>
      </w:r>
      <w:r>
        <w:t xml:space="preserve">ved almindelig, forventet brug af produkterne. </w:t>
      </w:r>
      <w:r>
        <w:rPr>
          <w:b/>
        </w:rPr>
        <w:t xml:space="preserve">  </w:t>
      </w:r>
    </w:p>
    <w:p w:rsidR="004D1545" w:rsidRDefault="004D1545" w:rsidP="004D1545"/>
    <w:p w:rsidR="00A70336" w:rsidRDefault="005D36DE" w:rsidP="00A70336">
      <w:pPr>
        <w:rPr>
          <w:b/>
        </w:rPr>
      </w:pPr>
      <w:r>
        <w:t xml:space="preserve">Som </w:t>
      </w:r>
      <w:r w:rsidR="00A20549">
        <w:t>importør/</w:t>
      </w:r>
      <w:r>
        <w:t>producent har du pligt til at vurdere</w:t>
      </w:r>
      <w:r w:rsidR="00A20549">
        <w:t>,</w:t>
      </w:r>
      <w:r>
        <w:t xml:space="preserve"> om det tilsatte nanomateriale vil kunne </w:t>
      </w:r>
      <w:r w:rsidR="00A70336">
        <w:t xml:space="preserve">frigives fra dine produkter ved almindelig forventet brug eller ej. Såfremt </w:t>
      </w:r>
      <w:r w:rsidR="00A20549">
        <w:t xml:space="preserve">din </w:t>
      </w:r>
      <w:r>
        <w:t xml:space="preserve">vurdering er, </w:t>
      </w:r>
      <w:r w:rsidR="00A70336">
        <w:t xml:space="preserve">at nanomaterialet ikke frigives ved almindeligt forventet brug skal dine produkter </w:t>
      </w:r>
      <w:r w:rsidR="00A70336">
        <w:rPr>
          <w:b/>
        </w:rPr>
        <w:t>ikke</w:t>
      </w:r>
      <w:r w:rsidR="00A70336">
        <w:t xml:space="preserve"> indberettes til </w:t>
      </w:r>
      <w:proofErr w:type="spellStart"/>
      <w:r w:rsidR="00A70336">
        <w:t>nanoproduktregistret</w:t>
      </w:r>
      <w:proofErr w:type="spellEnd"/>
      <w:r w:rsidR="00A70336">
        <w:t xml:space="preserve">, og du behøver ikke foretage dig mere. </w:t>
      </w:r>
      <w:r>
        <w:t xml:space="preserve">Er vurderingen </w:t>
      </w:r>
      <w:r w:rsidR="00A70336">
        <w:t>derimod</w:t>
      </w:r>
      <w:r w:rsidR="00A20549">
        <w:t>,</w:t>
      </w:r>
      <w:r w:rsidR="00A70336">
        <w:t xml:space="preserve"> at nanomaterialet frigives ved almindelig forventet brug</w:t>
      </w:r>
      <w:r w:rsidR="00A20549">
        <w:t>,</w:t>
      </w:r>
      <w:r w:rsidR="00A70336">
        <w:t xml:space="preserve"> </w:t>
      </w:r>
      <w:r w:rsidR="00BC4B0C">
        <w:t>skal dine</w:t>
      </w:r>
      <w:r w:rsidR="00A70336">
        <w:t xml:space="preserve"> produkt</w:t>
      </w:r>
      <w:r w:rsidR="00BC4B0C">
        <w:t>er</w:t>
      </w:r>
      <w:r w:rsidR="00A70336">
        <w:t xml:space="preserve"> indberettes til </w:t>
      </w:r>
      <w:proofErr w:type="spellStart"/>
      <w:r w:rsidR="00A70336">
        <w:t>nanoproduktregistret</w:t>
      </w:r>
      <w:proofErr w:type="spellEnd"/>
      <w:r w:rsidR="00A70336">
        <w:t>. Du kan se, hvordan du skaffer og håndterer oplysninger, og hvordan du indberetter, i kapitel 3.</w:t>
      </w:r>
    </w:p>
    <w:p w:rsidR="00A70336" w:rsidRDefault="00A70336" w:rsidP="00A70336"/>
    <w:p w:rsidR="00A70336" w:rsidRDefault="00A70336" w:rsidP="00A70336"/>
    <w:p w:rsidR="004D1545" w:rsidRDefault="00A70336" w:rsidP="004D1545">
      <w:r>
        <w:t xml:space="preserve">    </w:t>
      </w:r>
    </w:p>
    <w:p w:rsidR="004D1545" w:rsidRDefault="004D1545" w:rsidP="004D1545">
      <w:pPr>
        <w:rPr>
          <w:b/>
        </w:rPr>
      </w:pPr>
    </w:p>
    <w:p w:rsidR="004D1545" w:rsidRDefault="004D1545" w:rsidP="004D1545"/>
    <w:p w:rsidR="004D1545" w:rsidRDefault="004D1545" w:rsidP="004D1545"/>
    <w:p w:rsidR="004D1545" w:rsidRDefault="004D1545" w:rsidP="004D1545"/>
    <w:p w:rsidR="004D1545" w:rsidRDefault="004D1545" w:rsidP="004D1545"/>
    <w:p w:rsidR="004D1545" w:rsidRDefault="004D1545" w:rsidP="004D1545"/>
    <w:p w:rsidR="004D1545" w:rsidRDefault="004D1545" w:rsidP="004D1545"/>
    <w:p w:rsidR="004D1545" w:rsidRDefault="004D1545" w:rsidP="004D1545"/>
    <w:p w:rsidR="004D1545" w:rsidRDefault="004D1545" w:rsidP="004D1545"/>
    <w:p w:rsidR="004D1545" w:rsidRDefault="004D1545" w:rsidP="004D1545"/>
    <w:p w:rsidR="004D1545" w:rsidRDefault="004D1545" w:rsidP="004D1545"/>
    <w:p w:rsidR="004D1545" w:rsidRDefault="004D1545" w:rsidP="004D1545"/>
    <w:p w:rsidR="004D1545" w:rsidRDefault="004D1545" w:rsidP="004D1545"/>
    <w:p w:rsidR="004D1545" w:rsidRDefault="004D1545" w:rsidP="004D1545"/>
    <w:p w:rsidR="004D1545" w:rsidRDefault="004D1545" w:rsidP="004D1545"/>
    <w:p w:rsidR="004D1545" w:rsidRDefault="004D1545" w:rsidP="004D1545"/>
    <w:p w:rsidR="004D1545" w:rsidRDefault="004D1545" w:rsidP="004D1545"/>
    <w:p w:rsidR="00076E9B" w:rsidRDefault="00076E9B" w:rsidP="00A70336">
      <w:pPr>
        <w:rPr>
          <w:b/>
        </w:rPr>
      </w:pPr>
    </w:p>
    <w:p w:rsidR="00076E9B" w:rsidRDefault="00076E9B" w:rsidP="00A70336">
      <w:pPr>
        <w:rPr>
          <w:b/>
        </w:rPr>
      </w:pPr>
    </w:p>
    <w:p w:rsidR="00076E9B" w:rsidRDefault="00076E9B" w:rsidP="00A70336">
      <w:pPr>
        <w:rPr>
          <w:b/>
        </w:rPr>
      </w:pPr>
    </w:p>
    <w:p w:rsidR="00076E9B" w:rsidRDefault="00076E9B" w:rsidP="00A70336">
      <w:pPr>
        <w:rPr>
          <w:b/>
        </w:rPr>
      </w:pPr>
    </w:p>
    <w:p w:rsidR="00076E9B" w:rsidRDefault="00076E9B" w:rsidP="00A70336">
      <w:pPr>
        <w:rPr>
          <w:b/>
        </w:rPr>
      </w:pPr>
    </w:p>
    <w:p w:rsidR="00076E9B" w:rsidRDefault="00076E9B" w:rsidP="00A70336">
      <w:pPr>
        <w:rPr>
          <w:b/>
        </w:rPr>
      </w:pPr>
    </w:p>
    <w:p w:rsidR="00076E9B" w:rsidRDefault="00076E9B" w:rsidP="00A70336">
      <w:pPr>
        <w:rPr>
          <w:b/>
        </w:rPr>
      </w:pPr>
    </w:p>
    <w:p w:rsidR="00A70336" w:rsidRDefault="00076E9B" w:rsidP="00A70336">
      <w:pPr>
        <w:rPr>
          <w:b/>
        </w:rPr>
      </w:pPr>
      <w:r>
        <w:rPr>
          <w:b/>
        </w:rPr>
        <w:t>20</w:t>
      </w:r>
      <w:r w:rsidR="00A70336">
        <w:rPr>
          <w:b/>
        </w:rPr>
        <w:t xml:space="preserve"> –</w:t>
      </w:r>
      <w:r w:rsidR="00BC4B0C">
        <w:rPr>
          <w:b/>
        </w:rPr>
        <w:t>Blæk</w:t>
      </w:r>
      <w:r w:rsidR="00A70336">
        <w:rPr>
          <w:b/>
        </w:rPr>
        <w:t xml:space="preserve">patroner til </w:t>
      </w:r>
      <w:proofErr w:type="spellStart"/>
      <w:r w:rsidR="00BC4B0C">
        <w:rPr>
          <w:b/>
        </w:rPr>
        <w:t>inkjet</w:t>
      </w:r>
      <w:proofErr w:type="spellEnd"/>
      <w:r w:rsidR="00BC4B0C">
        <w:rPr>
          <w:b/>
        </w:rPr>
        <w:t>-</w:t>
      </w:r>
      <w:r w:rsidR="00A70336">
        <w:rPr>
          <w:b/>
        </w:rPr>
        <w:t xml:space="preserve">printere  </w:t>
      </w:r>
    </w:p>
    <w:p w:rsidR="00A70336" w:rsidRDefault="00A70336" w:rsidP="00A70336">
      <w:pPr>
        <w:rPr>
          <w:i/>
        </w:rPr>
      </w:pPr>
    </w:p>
    <w:p w:rsidR="00A70336" w:rsidRDefault="00A70336" w:rsidP="00A70336">
      <w:pPr>
        <w:rPr>
          <w:i/>
        </w:rPr>
      </w:pPr>
      <w:r>
        <w:rPr>
          <w:i/>
        </w:rPr>
        <w:t>Produkteksempel</w:t>
      </w:r>
    </w:p>
    <w:p w:rsidR="00A70336" w:rsidRDefault="00A70336" w:rsidP="00A70336">
      <w:r>
        <w:t xml:space="preserve">Du importerer </w:t>
      </w:r>
      <w:r w:rsidR="00BC4B0C">
        <w:t>blæk</w:t>
      </w:r>
      <w:r>
        <w:t xml:space="preserve">patroner til </w:t>
      </w:r>
      <w:proofErr w:type="spellStart"/>
      <w:r w:rsidR="00BC4B0C">
        <w:t>inkjet</w:t>
      </w:r>
      <w:proofErr w:type="spellEnd"/>
      <w:r w:rsidR="00BC4B0C">
        <w:t>-</w:t>
      </w:r>
      <w:r>
        <w:t>printere.</w:t>
      </w:r>
    </w:p>
    <w:p w:rsidR="00A70336" w:rsidRDefault="00A70336" w:rsidP="00A70336"/>
    <w:p w:rsidR="00A70336" w:rsidRDefault="00A70336" w:rsidP="00A70336">
      <w:pPr>
        <w:rPr>
          <w:i/>
        </w:rPr>
      </w:pPr>
      <w:r>
        <w:rPr>
          <w:i/>
        </w:rPr>
        <w:t>Overvejelser</w:t>
      </w:r>
    </w:p>
    <w:p w:rsidR="00A70336" w:rsidRDefault="00A70336" w:rsidP="00A70336">
      <w:r>
        <w:t>Da dine produkter markedsføres til private (Vejledningens figur 2 pkt. 1), og da dine produkter ikke er omfattet af andre regler om nanoprodukter (Vejledningens figur 2 pkt. 2), er dine produkter omfattet af bekendtgørelsen. Du skal derfor afklare, om dine produkter indeholder nanomaterialer, som betyder, at de er omfattet af indberetningspligten, og du forsætter til Figur 3 i vejledningen.</w:t>
      </w:r>
    </w:p>
    <w:p w:rsidR="00A70336" w:rsidRDefault="00A70336" w:rsidP="00A70336"/>
    <w:tbl>
      <w:tblPr>
        <w:tblpPr w:leftFromText="284" w:rightFromText="284" w:topFromText="284" w:bottomFromText="284" w:vertAnchor="text" w:horzAnchor="margin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</w:tblGrid>
      <w:tr w:rsidR="00A70336" w:rsidTr="0057477B">
        <w:trPr>
          <w:trHeight w:val="2333"/>
        </w:trPr>
        <w:tc>
          <w:tcPr>
            <w:tcW w:w="3969" w:type="dxa"/>
            <w:hideMark/>
          </w:tcPr>
          <w:p w:rsidR="00A70336" w:rsidRDefault="00A70336" w:rsidP="0057477B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687680B3" wp14:editId="25345122">
                  <wp:extent cx="2466975" cy="4865370"/>
                  <wp:effectExtent l="0" t="0" r="9525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486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336" w:rsidTr="0057477B">
        <w:trPr>
          <w:trHeight w:val="27"/>
        </w:trPr>
        <w:tc>
          <w:tcPr>
            <w:tcW w:w="3969" w:type="dxa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A70336" w:rsidRDefault="00A70336" w:rsidP="0057477B">
            <w:pPr>
              <w:pStyle w:val="FigurCaption"/>
            </w:pPr>
            <w:r>
              <w:rPr>
                <w:noProof/>
              </w:rPr>
              <w:t>Billede</w:t>
            </w:r>
            <w:r>
              <w:t xml:space="preserve">  </w:t>
            </w:r>
            <w:fldSimple w:instr=" SEQ Figur \* ARABIC ">
              <w:r w:rsidR="00CD0D25">
                <w:rPr>
                  <w:noProof/>
                </w:rPr>
                <w:t>2</w:t>
              </w:r>
            </w:fldSimple>
          </w:p>
          <w:p w:rsidR="00A70336" w:rsidRDefault="00A70336" w:rsidP="0057477B">
            <w:pPr>
              <w:pStyle w:val="Figurtekst"/>
            </w:pPr>
            <w:r>
              <w:fldChar w:fldCharType="begin"/>
            </w:r>
            <w:r>
              <w:instrText xml:space="preserve"> MACROBUTTON  NoName [Tekst]</w:instrText>
            </w:r>
            <w:r>
              <w:fldChar w:fldCharType="end"/>
            </w:r>
          </w:p>
        </w:tc>
      </w:tr>
    </w:tbl>
    <w:p w:rsidR="00A70336" w:rsidRDefault="00A70336" w:rsidP="00A70336">
      <w:r>
        <w:rPr>
          <w:b/>
        </w:rPr>
        <w:t>Pkt. 3.</w:t>
      </w:r>
      <w:r>
        <w:t xml:space="preserve"> Efter kontakt til din leverandør ved du, at dine produkter indeholder et pigment i nanostørrelse. Leverandøren oplyser også, at der ikke er andre nanomaterialer i produkterne, og du fortsætter til næste punkt.</w:t>
      </w:r>
    </w:p>
    <w:p w:rsidR="00A70336" w:rsidRDefault="00A70336" w:rsidP="00A70336">
      <w:r>
        <w:rPr>
          <w:b/>
        </w:rPr>
        <w:t xml:space="preserve">Pkt. 4. </w:t>
      </w:r>
      <w:r>
        <w:t>Da dine produkter ikke falder under de nævnte produktgrupper, skal du fortsætte til næste punkt.</w:t>
      </w:r>
    </w:p>
    <w:p w:rsidR="00A70336" w:rsidRDefault="00A70336" w:rsidP="00A70336">
      <w:r>
        <w:rPr>
          <w:b/>
        </w:rPr>
        <w:t xml:space="preserve">Pkt. 5. </w:t>
      </w:r>
      <w:r>
        <w:t>Pigmentet er fremstillet og efterfølgende kemisk modificeret og er derfor ikke naturligt forekommende</w:t>
      </w:r>
    </w:p>
    <w:p w:rsidR="00A70336" w:rsidRDefault="00A70336" w:rsidP="00A70336">
      <w:r>
        <w:rPr>
          <w:b/>
        </w:rPr>
        <w:t xml:space="preserve">Pkt. 6. </w:t>
      </w:r>
      <w:r>
        <w:t>Pigmentet er bevidst fremstillet i nanostørrelse for at opnå de ønskede farveegenskaber.</w:t>
      </w:r>
    </w:p>
    <w:p w:rsidR="00076E9B" w:rsidRDefault="00A70336" w:rsidP="00076E9B">
      <w:pPr>
        <w:rPr>
          <w:b/>
        </w:rPr>
      </w:pPr>
      <w:r>
        <w:rPr>
          <w:b/>
        </w:rPr>
        <w:t xml:space="preserve">Pkt. 7. </w:t>
      </w:r>
      <w:r w:rsidR="00335E8D" w:rsidRPr="00335E8D">
        <w:t xml:space="preserve">Du vurderer at den nyeste viden om frigivelse af nanopartikler ved anvendelse af </w:t>
      </w:r>
      <w:proofErr w:type="spellStart"/>
      <w:r w:rsidR="00A20549">
        <w:t>inkjet</w:t>
      </w:r>
      <w:proofErr w:type="spellEnd"/>
      <w:r w:rsidR="00A20549">
        <w:t xml:space="preserve"> </w:t>
      </w:r>
      <w:r w:rsidR="00335E8D" w:rsidRPr="00335E8D">
        <w:t xml:space="preserve">printertonere </w:t>
      </w:r>
      <w:r w:rsidR="00A20549">
        <w:t>viser,</w:t>
      </w:r>
      <w:r w:rsidR="00335E8D" w:rsidRPr="00335E8D">
        <w:t xml:space="preserve"> at der ikke sker frigivelse</w:t>
      </w:r>
      <w:r w:rsidR="00335E8D">
        <w:t xml:space="preserve"> af </w:t>
      </w:r>
      <w:proofErr w:type="spellStart"/>
      <w:r w:rsidR="00335E8D">
        <w:t>nanopartikler</w:t>
      </w:r>
      <w:proofErr w:type="spellEnd"/>
      <w:r w:rsidR="00335E8D">
        <w:t xml:space="preserve"> fra </w:t>
      </w:r>
      <w:proofErr w:type="spellStart"/>
      <w:r w:rsidR="00335E8D">
        <w:t>inkjet</w:t>
      </w:r>
      <w:proofErr w:type="spellEnd"/>
      <w:r w:rsidR="00335E8D">
        <w:t xml:space="preserve"> printertonerpatroner </w:t>
      </w:r>
      <w:r w:rsidR="00076E9B">
        <w:t>(</w:t>
      </w:r>
      <w:r w:rsidR="00335E8D">
        <w:t xml:space="preserve">pr. august 2015 henvises til xxx </w:t>
      </w:r>
      <w:r w:rsidR="00076E9B">
        <w:t xml:space="preserve">rapport </w:t>
      </w:r>
      <w:r w:rsidR="00335E8D">
        <w:t xml:space="preserve">når </w:t>
      </w:r>
      <w:r w:rsidR="00076E9B">
        <w:t>publicere</w:t>
      </w:r>
      <w:r w:rsidR="00335E8D">
        <w:t>t</w:t>
      </w:r>
      <w:r w:rsidR="00076E9B">
        <w:t xml:space="preserve">). </w:t>
      </w:r>
      <w:r w:rsidR="00076E9B">
        <w:rPr>
          <w:b/>
        </w:rPr>
        <w:t xml:space="preserve">  </w:t>
      </w:r>
    </w:p>
    <w:p w:rsidR="00076E9B" w:rsidRDefault="00076E9B" w:rsidP="00076E9B"/>
    <w:p w:rsidR="00076E9B" w:rsidRDefault="00076E9B" w:rsidP="00076E9B">
      <w:r>
        <w:t xml:space="preserve">På denne baggrund skal dine produkter </w:t>
      </w:r>
      <w:r>
        <w:rPr>
          <w:b/>
        </w:rPr>
        <w:t>ikke</w:t>
      </w:r>
      <w:r>
        <w:t xml:space="preserve"> indberettes til </w:t>
      </w:r>
      <w:proofErr w:type="spellStart"/>
      <w:r>
        <w:t>nanoproduktregistret</w:t>
      </w:r>
      <w:proofErr w:type="spellEnd"/>
      <w:r>
        <w:t>, og du behøver ikke foretage dig mere.</w:t>
      </w:r>
    </w:p>
    <w:p w:rsidR="00A70336" w:rsidRDefault="00A70336" w:rsidP="00076E9B">
      <w:pPr>
        <w:rPr>
          <w:b/>
        </w:rPr>
      </w:pPr>
    </w:p>
    <w:p w:rsidR="00A70336" w:rsidRDefault="00A70336" w:rsidP="00A70336"/>
    <w:p w:rsidR="00A70336" w:rsidRDefault="00A70336" w:rsidP="00A70336"/>
    <w:p w:rsidR="00A70336" w:rsidRDefault="00A70336" w:rsidP="00A70336"/>
    <w:p w:rsidR="00A70336" w:rsidRDefault="00A70336" w:rsidP="00A70336"/>
    <w:p w:rsidR="00A70336" w:rsidRDefault="00A70336" w:rsidP="00A70336"/>
    <w:p w:rsidR="00A70336" w:rsidRDefault="00A70336" w:rsidP="00A70336"/>
    <w:p w:rsidR="00A70336" w:rsidRDefault="00A70336" w:rsidP="00A70336"/>
    <w:p w:rsidR="00A70336" w:rsidRDefault="00A70336" w:rsidP="00A70336"/>
    <w:p w:rsidR="00A70336" w:rsidRDefault="00A70336" w:rsidP="00A70336"/>
    <w:p w:rsidR="00A70336" w:rsidRDefault="00A70336" w:rsidP="00A70336"/>
    <w:p w:rsidR="00A70336" w:rsidRDefault="00A70336" w:rsidP="00A70336"/>
    <w:p w:rsidR="00A70336" w:rsidRDefault="00A70336" w:rsidP="00A70336"/>
    <w:p w:rsidR="00A70336" w:rsidRDefault="00A70336" w:rsidP="00A70336"/>
    <w:p w:rsidR="00A70336" w:rsidRDefault="00A70336" w:rsidP="00A70336"/>
    <w:p w:rsidR="00A70336" w:rsidRDefault="00A70336" w:rsidP="004D1545">
      <w:pPr>
        <w:rPr>
          <w:b/>
        </w:rPr>
      </w:pPr>
    </w:p>
    <w:p w:rsidR="00076E9B" w:rsidRDefault="00076E9B" w:rsidP="004D1545">
      <w:pPr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076E9B" w:rsidRDefault="00076E9B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76E9B" w:rsidRPr="00076E9B" w:rsidRDefault="00076E9B" w:rsidP="00076E9B">
      <w:pPr>
        <w:pStyle w:val="Opstilling-punkttegn"/>
        <w:numPr>
          <w:ilvl w:val="0"/>
          <w:numId w:val="0"/>
        </w:numPr>
        <w:ind w:left="397" w:hanging="397"/>
        <w:rPr>
          <w:b/>
        </w:rPr>
      </w:pPr>
      <w:r w:rsidRPr="00076E9B">
        <w:rPr>
          <w:b/>
        </w:rPr>
        <w:lastRenderedPageBreak/>
        <w:t>21</w:t>
      </w:r>
      <w:r w:rsidR="004D1545" w:rsidRPr="00076E9B">
        <w:rPr>
          <w:b/>
        </w:rPr>
        <w:t xml:space="preserve"> – </w:t>
      </w:r>
      <w:r w:rsidRPr="00076E9B">
        <w:rPr>
          <w:b/>
        </w:rPr>
        <w:t xml:space="preserve">Toner til genopfyldning af tonerpatroner </w:t>
      </w:r>
    </w:p>
    <w:p w:rsidR="004D1545" w:rsidRPr="00076E9B" w:rsidRDefault="004D1545" w:rsidP="004D1545">
      <w:pPr>
        <w:rPr>
          <w:b/>
        </w:rPr>
      </w:pPr>
      <w:r>
        <w:rPr>
          <w:b/>
        </w:rPr>
        <w:t xml:space="preserve"> </w:t>
      </w:r>
    </w:p>
    <w:p w:rsidR="004D1545" w:rsidRDefault="004D1545" w:rsidP="004D1545">
      <w:pPr>
        <w:rPr>
          <w:i/>
        </w:rPr>
      </w:pPr>
      <w:r>
        <w:rPr>
          <w:i/>
        </w:rPr>
        <w:t>Produkteksempel</w:t>
      </w:r>
    </w:p>
    <w:p w:rsidR="004D1545" w:rsidRDefault="004D1545" w:rsidP="004D1545">
      <w:r>
        <w:t>Du importerer en toner til genopfyldning af originale og uoriginale tonerpatroner.</w:t>
      </w:r>
    </w:p>
    <w:p w:rsidR="004D1545" w:rsidRDefault="004D1545" w:rsidP="004D1545"/>
    <w:p w:rsidR="004D1545" w:rsidRDefault="004D1545" w:rsidP="004D1545">
      <w:pPr>
        <w:rPr>
          <w:i/>
        </w:rPr>
      </w:pPr>
      <w:r>
        <w:rPr>
          <w:i/>
        </w:rPr>
        <w:t>Overvejelser</w:t>
      </w:r>
    </w:p>
    <w:p w:rsidR="004D1545" w:rsidRDefault="004D1545" w:rsidP="004D1545">
      <w:r>
        <w:t>Da dit produkt markedsføres til private (Vejledningens figur 2 pkt. 1), og da dit produkt ikke er omfattet af andre regler om nanoprodukter (Figur 2 pkt. 2), er dit produkt omfattet af bekendtgørelsen. Du skal derfor afklare, om dit produkt indeholder nanomaterialer, som betyder, at det er omfattet af indberetningspligten, og du forsætter til Figur 3 i vejledningen.</w:t>
      </w:r>
    </w:p>
    <w:p w:rsidR="004D1545" w:rsidRDefault="004D1545" w:rsidP="004D1545"/>
    <w:tbl>
      <w:tblPr>
        <w:tblpPr w:leftFromText="284" w:rightFromText="284" w:topFromText="284" w:bottomFromText="284" w:vertAnchor="text" w:horzAnchor="margin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</w:tblGrid>
      <w:tr w:rsidR="004D1545" w:rsidTr="004D1545">
        <w:trPr>
          <w:trHeight w:val="2333"/>
        </w:trPr>
        <w:tc>
          <w:tcPr>
            <w:tcW w:w="3969" w:type="dxa"/>
            <w:hideMark/>
          </w:tcPr>
          <w:p w:rsidR="004D1545" w:rsidRDefault="004D1545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631953BA" wp14:editId="5DADE042">
                  <wp:extent cx="2466975" cy="4865370"/>
                  <wp:effectExtent l="0" t="0" r="9525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486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545" w:rsidTr="004D1545">
        <w:trPr>
          <w:trHeight w:val="27"/>
        </w:trPr>
        <w:tc>
          <w:tcPr>
            <w:tcW w:w="3969" w:type="dxa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4D1545" w:rsidRDefault="004D1545">
            <w:pPr>
              <w:pStyle w:val="FigurCaption"/>
            </w:pPr>
            <w:r>
              <w:rPr>
                <w:noProof/>
              </w:rPr>
              <w:t>Billede</w:t>
            </w:r>
            <w:r>
              <w:t xml:space="preserve">  </w:t>
            </w:r>
            <w:fldSimple w:instr=" SEQ Figur \* ARABIC ">
              <w:r w:rsidR="00CD0D25">
                <w:rPr>
                  <w:noProof/>
                </w:rPr>
                <w:t>3</w:t>
              </w:r>
            </w:fldSimple>
          </w:p>
          <w:p w:rsidR="004D1545" w:rsidRDefault="004D1545">
            <w:pPr>
              <w:pStyle w:val="Figurtekst"/>
            </w:pPr>
            <w:r>
              <w:fldChar w:fldCharType="begin"/>
            </w:r>
            <w:r>
              <w:instrText xml:space="preserve"> MACROBUTTON  NoName [Tekst]</w:instrText>
            </w:r>
            <w:r>
              <w:fldChar w:fldCharType="end"/>
            </w:r>
          </w:p>
        </w:tc>
      </w:tr>
    </w:tbl>
    <w:p w:rsidR="004D1545" w:rsidRDefault="004D1545" w:rsidP="004D1545">
      <w:r>
        <w:rPr>
          <w:b/>
        </w:rPr>
        <w:t>Pkt. 3.</w:t>
      </w:r>
      <w:r>
        <w:t xml:space="preserve"> Efter kontakt til din leverandør ved du, at produktet indeholder et pigment i nanostørrelse. Leverandøren oplyser også, at der ikke er andre nanomaterialer i produktet, og du fortsætter til næste punkt.</w:t>
      </w:r>
    </w:p>
    <w:p w:rsidR="004D1545" w:rsidRDefault="004D1545" w:rsidP="004D1545">
      <w:r>
        <w:rPr>
          <w:b/>
        </w:rPr>
        <w:t xml:space="preserve">Pkt. 4. </w:t>
      </w:r>
      <w:r>
        <w:t>Da dit produkt ikke falder under de nævnte produktgrupper, skal du fortsætte til næste punkt.</w:t>
      </w:r>
    </w:p>
    <w:p w:rsidR="004D1545" w:rsidRDefault="004D1545" w:rsidP="004D1545">
      <w:r>
        <w:rPr>
          <w:b/>
        </w:rPr>
        <w:t xml:space="preserve">Pkt. 5. </w:t>
      </w:r>
      <w:r>
        <w:t>Pigmentet er fremstillet og efterfølgende kemisk modificeret og er derfor ikke naturligt forekommende</w:t>
      </w:r>
    </w:p>
    <w:p w:rsidR="004D1545" w:rsidRDefault="004D1545" w:rsidP="004D1545">
      <w:r>
        <w:rPr>
          <w:b/>
        </w:rPr>
        <w:t xml:space="preserve">Pkt. 6. </w:t>
      </w:r>
      <w:r>
        <w:t>Pigmentet er bevidst fremstillet i nanostørrelse for at opnå nogle specifikke farveegenskaber.</w:t>
      </w:r>
    </w:p>
    <w:p w:rsidR="004D1545" w:rsidRDefault="004D1545" w:rsidP="004D1545">
      <w:r>
        <w:rPr>
          <w:b/>
        </w:rPr>
        <w:t xml:space="preserve">Pkt. 7. </w:t>
      </w:r>
      <w:r>
        <w:t xml:space="preserve">Undersøgelser har vist, at der i forbindelse med påfyldning af tonerpulveret frigives nanomateriale (henvisning indsættes, når rapport publiceres). </w:t>
      </w:r>
    </w:p>
    <w:p w:rsidR="004D1545" w:rsidRDefault="004D1545" w:rsidP="004D1545"/>
    <w:p w:rsidR="004D1545" w:rsidRDefault="004D1545" w:rsidP="004D1545">
      <w:pPr>
        <w:rPr>
          <w:b/>
        </w:rPr>
      </w:pPr>
      <w:r>
        <w:t xml:space="preserve">På denne baggrund skal dit produkt indberettes til </w:t>
      </w:r>
      <w:proofErr w:type="spellStart"/>
      <w:r>
        <w:t>nanoproduktregistret</w:t>
      </w:r>
      <w:proofErr w:type="spellEnd"/>
      <w:r>
        <w:t>. Du kan se, hvordan du skaffer og håndterer oplysninger, og hvordan du indberetter, i kapitel 3.</w:t>
      </w:r>
    </w:p>
    <w:p w:rsidR="004D1545" w:rsidRDefault="004D1545" w:rsidP="004D1545"/>
    <w:p w:rsidR="004D1545" w:rsidRDefault="004D1545" w:rsidP="004D1545"/>
    <w:p w:rsidR="004D1545" w:rsidRDefault="004D1545" w:rsidP="004D1545"/>
    <w:p w:rsidR="004D1545" w:rsidRDefault="004D1545" w:rsidP="004D1545"/>
    <w:p w:rsidR="004D1545" w:rsidRDefault="004D1545" w:rsidP="004D1545"/>
    <w:p w:rsidR="004D1545" w:rsidRDefault="004D1545" w:rsidP="004D1545"/>
    <w:p w:rsidR="004D1545" w:rsidRDefault="004D1545" w:rsidP="004D1545"/>
    <w:p w:rsidR="004D1545" w:rsidRDefault="004D1545" w:rsidP="004D1545"/>
    <w:p w:rsidR="004D1545" w:rsidRDefault="004D1545" w:rsidP="004D1545"/>
    <w:p w:rsidR="004D1545" w:rsidRDefault="004D1545" w:rsidP="004D1545"/>
    <w:p w:rsidR="004D1545" w:rsidRDefault="004D1545" w:rsidP="004D1545"/>
    <w:p w:rsidR="004D1545" w:rsidRDefault="004D1545" w:rsidP="004D1545"/>
    <w:p w:rsidR="004D1545" w:rsidRDefault="004D1545" w:rsidP="004D1545"/>
    <w:p w:rsidR="004D1545" w:rsidRDefault="004D1545" w:rsidP="004D1545"/>
    <w:p w:rsidR="004D1545" w:rsidRDefault="004D1545" w:rsidP="004D1545"/>
    <w:p w:rsidR="004D1545" w:rsidRDefault="004D1545" w:rsidP="004D1545"/>
    <w:p w:rsidR="004D1545" w:rsidRPr="004D1545" w:rsidRDefault="004D1545" w:rsidP="004D1545">
      <w:pPr>
        <w:rPr>
          <w:b/>
        </w:rPr>
      </w:pPr>
      <w:bookmarkStart w:id="3" w:name="_Toc423006451"/>
      <w:r w:rsidRPr="004D1545">
        <w:rPr>
          <w:b/>
        </w:rPr>
        <w:t>Tekstforslag – bilag 5</w:t>
      </w:r>
      <w:bookmarkEnd w:id="3"/>
      <w:r w:rsidRPr="004D1545">
        <w:rPr>
          <w:b/>
        </w:rPr>
        <w:t xml:space="preserve"> </w:t>
      </w:r>
    </w:p>
    <w:p w:rsidR="004D1545" w:rsidRDefault="004D1545" w:rsidP="004D1545">
      <w:r>
        <w:t xml:space="preserve">Tilføjelse af blæk- og tonerpatroner under punktet ”Produkter, der indeholder farver”. </w:t>
      </w:r>
    </w:p>
    <w:p w:rsidR="004D1545" w:rsidRDefault="004D1545" w:rsidP="004D1545"/>
    <w:p w:rsidR="0057477B" w:rsidRDefault="0057477B"/>
    <w:sectPr w:rsidR="0057477B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5DA" w:rsidRDefault="008855DA" w:rsidP="006D1F4C">
      <w:pPr>
        <w:spacing w:line="240" w:lineRule="auto"/>
      </w:pPr>
      <w:r>
        <w:separator/>
      </w:r>
    </w:p>
  </w:endnote>
  <w:endnote w:type="continuationSeparator" w:id="0">
    <w:p w:rsidR="008855DA" w:rsidRDefault="008855DA" w:rsidP="006D1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5DA" w:rsidRDefault="008855DA" w:rsidP="006D1F4C">
      <w:pPr>
        <w:spacing w:line="240" w:lineRule="auto"/>
      </w:pPr>
      <w:r>
        <w:separator/>
      </w:r>
    </w:p>
  </w:footnote>
  <w:footnote w:type="continuationSeparator" w:id="0">
    <w:p w:rsidR="008855DA" w:rsidRDefault="008855DA" w:rsidP="006D1F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7B" w:rsidRDefault="0057477B" w:rsidP="006D1F4C">
    <w:pPr>
      <w:pStyle w:val="Sidehoved"/>
    </w:pPr>
    <w:r w:rsidRPr="006D1F4C">
      <w:rPr>
        <w:noProof/>
        <w:lang w:eastAsia="da-DK"/>
      </w:rPr>
      <w:drawing>
        <wp:inline distT="0" distB="0" distL="0" distR="0" wp14:anchorId="570F214B" wp14:editId="7A7D1761">
          <wp:extent cx="1089188" cy="563386"/>
          <wp:effectExtent l="0" t="0" r="0" b="8255"/>
          <wp:docPr id="3" name="Billede 3" descr="http://www.plast.dk/_files/_database/database12/Teknologisk_Institu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plast.dk/_files/_database/database12/Teknologisk_Institut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418" cy="581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19-08-2015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3E95"/>
    <w:multiLevelType w:val="multilevel"/>
    <w:tmpl w:val="C5224FF0"/>
    <w:lvl w:ilvl="0">
      <w:start w:val="1"/>
      <w:numFmt w:val="decimal"/>
      <w:pStyle w:val="Overskrift1"/>
      <w:lvlText w:val="%1.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21"/>
        </w:tabs>
        <w:ind w:left="1021" w:hanging="1021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304"/>
        </w:tabs>
        <w:ind w:left="1247" w:hanging="1247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8"/>
        </w:tabs>
        <w:ind w:left="1588" w:hanging="1588"/>
      </w:pPr>
    </w:lvl>
  </w:abstractNum>
  <w:abstractNum w:abstractNumId="1" w15:restartNumberingAfterBreak="0">
    <w:nsid w:val="6ACB3B03"/>
    <w:multiLevelType w:val="multilevel"/>
    <w:tmpl w:val="BFB283C0"/>
    <w:lvl w:ilvl="0">
      <w:start w:val="1"/>
      <w:numFmt w:val="bullet"/>
      <w:pStyle w:val="Opstilling-punkttegn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34C7605"/>
    <w:multiLevelType w:val="multilevel"/>
    <w:tmpl w:val="8E722FC4"/>
    <w:lvl w:ilvl="0">
      <w:start w:val="1"/>
      <w:numFmt w:val="decimal"/>
      <w:pStyle w:val="Opstilling-talellerbogst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45"/>
    <w:rsid w:val="00006A4F"/>
    <w:rsid w:val="00011AEB"/>
    <w:rsid w:val="00076E9B"/>
    <w:rsid w:val="001519EA"/>
    <w:rsid w:val="001761B9"/>
    <w:rsid w:val="002A4B6E"/>
    <w:rsid w:val="00335E8D"/>
    <w:rsid w:val="003D6780"/>
    <w:rsid w:val="004D1545"/>
    <w:rsid w:val="0057477B"/>
    <w:rsid w:val="005D36DE"/>
    <w:rsid w:val="006876DA"/>
    <w:rsid w:val="006D1F4C"/>
    <w:rsid w:val="008855DA"/>
    <w:rsid w:val="008B68C1"/>
    <w:rsid w:val="008B7D42"/>
    <w:rsid w:val="008F6E94"/>
    <w:rsid w:val="00A20549"/>
    <w:rsid w:val="00A211C0"/>
    <w:rsid w:val="00A34F77"/>
    <w:rsid w:val="00A70336"/>
    <w:rsid w:val="00AB5915"/>
    <w:rsid w:val="00B11195"/>
    <w:rsid w:val="00B31782"/>
    <w:rsid w:val="00BC4B0C"/>
    <w:rsid w:val="00C10D64"/>
    <w:rsid w:val="00CB6797"/>
    <w:rsid w:val="00CD0D25"/>
    <w:rsid w:val="00E32982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9676F-B5A3-45C3-BACB-E38090C7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545"/>
    <w:pPr>
      <w:spacing w:after="0" w:line="260" w:lineRule="atLeast"/>
    </w:pPr>
    <w:rPr>
      <w:rFonts w:ascii="Georgia" w:eastAsia="Times New Roman" w:hAnsi="Georgia" w:cs="Times New Roman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D1545"/>
    <w:pPr>
      <w:pageBreakBefore/>
      <w:numPr>
        <w:numId w:val="1"/>
      </w:numPr>
      <w:spacing w:after="1440" w:line="720" w:lineRule="atLeast"/>
      <w:ind w:right="-1701"/>
      <w:contextualSpacing/>
      <w:outlineLvl w:val="0"/>
    </w:pPr>
    <w:rPr>
      <w:rFonts w:cs="Arial"/>
      <w:b/>
      <w:bCs/>
      <w:sz w:val="60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4D1545"/>
    <w:pPr>
      <w:numPr>
        <w:ilvl w:val="1"/>
        <w:numId w:val="1"/>
      </w:numPr>
      <w:outlineLvl w:val="1"/>
    </w:pPr>
    <w:rPr>
      <w:rFonts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4D1545"/>
    <w:pPr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4D1545"/>
    <w:pPr>
      <w:numPr>
        <w:ilvl w:val="3"/>
        <w:numId w:val="1"/>
      </w:num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4D1545"/>
    <w:pPr>
      <w:numPr>
        <w:ilvl w:val="4"/>
        <w:numId w:val="1"/>
      </w:num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4D1545"/>
    <w:pPr>
      <w:numPr>
        <w:ilvl w:val="5"/>
        <w:numId w:val="1"/>
      </w:num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4D1545"/>
    <w:pPr>
      <w:numPr>
        <w:ilvl w:val="6"/>
        <w:numId w:val="1"/>
      </w:numPr>
      <w:outlineLvl w:val="6"/>
    </w:pPr>
    <w:rPr>
      <w:b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4D1545"/>
    <w:pPr>
      <w:numPr>
        <w:ilvl w:val="7"/>
        <w:numId w:val="1"/>
      </w:numPr>
      <w:outlineLvl w:val="7"/>
    </w:pPr>
    <w:rPr>
      <w:b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4D1545"/>
    <w:pPr>
      <w:numPr>
        <w:ilvl w:val="8"/>
        <w:numId w:val="1"/>
      </w:num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D1545"/>
    <w:rPr>
      <w:rFonts w:ascii="Georgia" w:eastAsia="Times New Roman" w:hAnsi="Georgia" w:cs="Arial"/>
      <w:b/>
      <w:bCs/>
      <w:sz w:val="60"/>
      <w:szCs w:val="32"/>
    </w:rPr>
  </w:style>
  <w:style w:type="character" w:customStyle="1" w:styleId="Overskrift2Tegn">
    <w:name w:val="Overskrift 2 Tegn"/>
    <w:basedOn w:val="Standardskrifttypeiafsnit"/>
    <w:link w:val="Overskrift2"/>
    <w:semiHidden/>
    <w:rsid w:val="004D1545"/>
    <w:rPr>
      <w:rFonts w:ascii="Georgia" w:eastAsia="Times New Roman" w:hAnsi="Georgia" w:cs="Arial"/>
      <w:b/>
      <w:bCs/>
      <w:iCs/>
      <w:sz w:val="20"/>
      <w:szCs w:val="28"/>
    </w:rPr>
  </w:style>
  <w:style w:type="character" w:customStyle="1" w:styleId="Overskrift3Tegn">
    <w:name w:val="Overskrift 3 Tegn"/>
    <w:basedOn w:val="Standardskrifttypeiafsnit"/>
    <w:link w:val="Overskrift3"/>
    <w:semiHidden/>
    <w:rsid w:val="004D1545"/>
    <w:rPr>
      <w:rFonts w:ascii="Georgia" w:eastAsia="Times New Roman" w:hAnsi="Georgia" w:cs="Arial"/>
      <w:b/>
      <w:bCs/>
      <w:sz w:val="18"/>
      <w:szCs w:val="26"/>
    </w:rPr>
  </w:style>
  <w:style w:type="character" w:customStyle="1" w:styleId="Overskrift4Tegn">
    <w:name w:val="Overskrift 4 Tegn"/>
    <w:basedOn w:val="Standardskrifttypeiafsnit"/>
    <w:link w:val="Overskrift4"/>
    <w:semiHidden/>
    <w:rsid w:val="004D1545"/>
    <w:rPr>
      <w:rFonts w:ascii="Georgia" w:eastAsia="Times New Roman" w:hAnsi="Georgia" w:cs="Times New Roman"/>
      <w:b/>
      <w:bCs/>
      <w:sz w:val="18"/>
      <w:szCs w:val="28"/>
    </w:rPr>
  </w:style>
  <w:style w:type="character" w:customStyle="1" w:styleId="Overskrift5Tegn">
    <w:name w:val="Overskrift 5 Tegn"/>
    <w:basedOn w:val="Standardskrifttypeiafsnit"/>
    <w:link w:val="Overskrift5"/>
    <w:semiHidden/>
    <w:rsid w:val="004D1545"/>
    <w:rPr>
      <w:rFonts w:ascii="Georgia" w:eastAsia="Times New Roman" w:hAnsi="Georgia" w:cs="Times New Roman"/>
      <w:b/>
      <w:bCs/>
      <w:iCs/>
      <w:sz w:val="18"/>
      <w:szCs w:val="26"/>
    </w:rPr>
  </w:style>
  <w:style w:type="character" w:customStyle="1" w:styleId="Overskrift6Tegn">
    <w:name w:val="Overskrift 6 Tegn"/>
    <w:basedOn w:val="Standardskrifttypeiafsnit"/>
    <w:link w:val="Overskrift6"/>
    <w:semiHidden/>
    <w:rsid w:val="004D1545"/>
    <w:rPr>
      <w:rFonts w:ascii="Georgia" w:eastAsia="Times New Roman" w:hAnsi="Georgia" w:cs="Times New Roman"/>
      <w:b/>
      <w:bCs/>
      <w:sz w:val="18"/>
    </w:rPr>
  </w:style>
  <w:style w:type="character" w:customStyle="1" w:styleId="Overskrift7Tegn">
    <w:name w:val="Overskrift 7 Tegn"/>
    <w:basedOn w:val="Standardskrifttypeiafsnit"/>
    <w:link w:val="Overskrift7"/>
    <w:semiHidden/>
    <w:rsid w:val="004D1545"/>
    <w:rPr>
      <w:rFonts w:ascii="Georgia" w:eastAsia="Times New Roman" w:hAnsi="Georgia" w:cs="Times New Roman"/>
      <w:b/>
      <w:sz w:val="18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4D1545"/>
    <w:rPr>
      <w:rFonts w:ascii="Georgia" w:eastAsia="Times New Roman" w:hAnsi="Georgia" w:cs="Times New Roman"/>
      <w:b/>
      <w:iCs/>
      <w:sz w:val="18"/>
      <w:szCs w:val="24"/>
    </w:rPr>
  </w:style>
  <w:style w:type="character" w:customStyle="1" w:styleId="Overskrift9Tegn">
    <w:name w:val="Overskrift 9 Tegn"/>
    <w:basedOn w:val="Standardskrifttypeiafsnit"/>
    <w:link w:val="Overskrift9"/>
    <w:semiHidden/>
    <w:rsid w:val="004D1545"/>
    <w:rPr>
      <w:rFonts w:ascii="Georgia" w:eastAsia="Times New Roman" w:hAnsi="Georgia" w:cs="Arial"/>
      <w:b/>
      <w:sz w:val="18"/>
    </w:rPr>
  </w:style>
  <w:style w:type="paragraph" w:styleId="Opstilling-punkttegn">
    <w:name w:val="List Bullet"/>
    <w:basedOn w:val="Normal"/>
    <w:uiPriority w:val="2"/>
    <w:semiHidden/>
    <w:unhideWhenUsed/>
    <w:rsid w:val="004D1545"/>
    <w:pPr>
      <w:numPr>
        <w:numId w:val="2"/>
      </w:numPr>
    </w:pPr>
  </w:style>
  <w:style w:type="paragraph" w:styleId="Opstilling-talellerbogst">
    <w:name w:val="List Number"/>
    <w:basedOn w:val="Normal"/>
    <w:uiPriority w:val="2"/>
    <w:unhideWhenUsed/>
    <w:rsid w:val="004D1545"/>
    <w:pPr>
      <w:numPr>
        <w:numId w:val="3"/>
      </w:numPr>
    </w:pPr>
  </w:style>
  <w:style w:type="paragraph" w:customStyle="1" w:styleId="Figurtekst">
    <w:name w:val="Figur tekst"/>
    <w:basedOn w:val="Normal"/>
    <w:uiPriority w:val="6"/>
    <w:rsid w:val="004D1545"/>
    <w:pPr>
      <w:spacing w:line="180" w:lineRule="atLeast"/>
    </w:pPr>
    <w:rPr>
      <w:caps/>
      <w:color w:val="4F757D"/>
      <w:sz w:val="14"/>
    </w:rPr>
  </w:style>
  <w:style w:type="paragraph" w:customStyle="1" w:styleId="FigurCaption">
    <w:name w:val="Figur Caption"/>
    <w:basedOn w:val="Figurtekst"/>
    <w:uiPriority w:val="6"/>
    <w:rsid w:val="004D1545"/>
    <w:rPr>
      <w:b/>
    </w:rPr>
  </w:style>
  <w:style w:type="paragraph" w:styleId="Sidehoved">
    <w:name w:val="header"/>
    <w:basedOn w:val="Normal"/>
    <w:link w:val="SidehovedTegn"/>
    <w:uiPriority w:val="99"/>
    <w:unhideWhenUsed/>
    <w:rsid w:val="006D1F4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1F4C"/>
    <w:rPr>
      <w:rFonts w:ascii="Georgia" w:eastAsia="Times New Roman" w:hAnsi="Georgia" w:cs="Times New Roman"/>
      <w:sz w:val="18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D1F4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D1F4C"/>
    <w:rPr>
      <w:rFonts w:ascii="Georgia" w:eastAsia="Times New Roman" w:hAnsi="Georgia" w:cs="Times New Roman"/>
      <w:sz w:val="18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C4B0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C4B0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C4B0C"/>
    <w:rPr>
      <w:rFonts w:ascii="Georgia" w:eastAsia="Times New Roman" w:hAnsi="Georgia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C4B0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C4B0C"/>
    <w:rPr>
      <w:rFonts w:ascii="Georgia" w:eastAsia="Times New Roman" w:hAnsi="Georgia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4B0C"/>
    <w:pPr>
      <w:spacing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4B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0DB5C.B9E39B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963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Teknologisk Institut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Holst Fischer</dc:creator>
  <cp:lastModifiedBy>Tina Wissendorff</cp:lastModifiedBy>
  <cp:revision>2</cp:revision>
  <cp:lastPrinted>2015-08-19T09:16:00Z</cp:lastPrinted>
  <dcterms:created xsi:type="dcterms:W3CDTF">2023-06-14T11:15:00Z</dcterms:created>
  <dcterms:modified xsi:type="dcterms:W3CDTF">2023-06-14T11:15:00Z</dcterms:modified>
</cp:coreProperties>
</file>