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953410" w:rsidRPr="006979FC" w14:paraId="76E831DE" w14:textId="77777777" w:rsidTr="004E56D6">
        <w:trPr>
          <w:cantSplit/>
          <w:trHeight w:val="2600"/>
        </w:trPr>
        <w:tc>
          <w:tcPr>
            <w:tcW w:w="7116" w:type="dxa"/>
          </w:tcPr>
          <w:p w14:paraId="7784FB0E" w14:textId="77777777" w:rsidR="00953410" w:rsidRPr="006979FC" w:rsidRDefault="00953410" w:rsidP="0005449E"/>
        </w:tc>
        <w:tc>
          <w:tcPr>
            <w:tcW w:w="1939" w:type="dxa"/>
          </w:tcPr>
          <w:p w14:paraId="43A0479D" w14:textId="77777777" w:rsidR="00953410" w:rsidRPr="006979FC" w:rsidRDefault="00953410" w:rsidP="00953410">
            <w:pPr>
              <w:ind w:right="-1759"/>
            </w:pPr>
          </w:p>
        </w:tc>
      </w:tr>
      <w:tr w:rsidR="00953410" w:rsidRPr="006979FC" w14:paraId="3C7BE6F0" w14:textId="77777777" w:rsidTr="004E56D6">
        <w:trPr>
          <w:cantSplit/>
        </w:trPr>
        <w:tc>
          <w:tcPr>
            <w:tcW w:w="7116" w:type="dxa"/>
          </w:tcPr>
          <w:p w14:paraId="44CDF7B3" w14:textId="77777777" w:rsidR="00953410" w:rsidRPr="006979FC" w:rsidRDefault="00BF4FF9" w:rsidP="00BF4FF9">
            <w:pPr>
              <w:pStyle w:val="DocumentHeading"/>
            </w:pPr>
            <w:r>
              <w:t xml:space="preserve">FAQ – </w:t>
            </w:r>
            <w:r w:rsidR="00923722">
              <w:t xml:space="preserve">metode </w:t>
            </w:r>
            <w:r w:rsidR="00D90A93">
              <w:t xml:space="preserve">til </w:t>
            </w:r>
            <w:r w:rsidR="00923722" w:rsidRPr="0098021F">
              <w:t>beregning af multiple refleksioner i forbindelse med støj fra råstofindvinding på havet</w:t>
            </w:r>
          </w:p>
        </w:tc>
        <w:tc>
          <w:tcPr>
            <w:tcW w:w="1939" w:type="dxa"/>
          </w:tcPr>
          <w:p w14:paraId="2CA47727" w14:textId="77777777" w:rsidR="00953410" w:rsidRPr="006979FC" w:rsidRDefault="00953410" w:rsidP="00953410">
            <w:pPr>
              <w:ind w:right="-1759"/>
            </w:pPr>
          </w:p>
        </w:tc>
      </w:tr>
    </w:tbl>
    <w:p w14:paraId="785761DF" w14:textId="77777777" w:rsidR="00953410" w:rsidRPr="006979FC" w:rsidRDefault="00953410" w:rsidP="00953410">
      <w:pPr>
        <w:pStyle w:val="Overskrift1"/>
        <w:ind w:right="-1759"/>
      </w:pPr>
      <w:r w:rsidRPr="006979FC">
        <w:t>Problemstilling</w:t>
      </w:r>
    </w:p>
    <w:p w14:paraId="4B529C4D" w14:textId="77777777" w:rsidR="00302002" w:rsidRDefault="00302002" w:rsidP="00302002">
      <w:pPr>
        <w:ind w:right="-1759"/>
      </w:pPr>
      <w:r w:rsidRPr="0098021F">
        <w:t xml:space="preserve">Miljøstyrelsen har den 2. juli 2024 orienteret om ny praksis for overvejelse af støjvilkår i en råstofindvindingstilladelse. Orienteringen kan findes </w:t>
      </w:r>
      <w:hyperlink r:id="rId7" w:history="1">
        <w:r w:rsidRPr="0098021F">
          <w:rPr>
            <w:rStyle w:val="Hyperlink"/>
          </w:rPr>
          <w:t>her</w:t>
        </w:r>
      </w:hyperlink>
      <w:r w:rsidRPr="0098021F">
        <w:t>.</w:t>
      </w:r>
    </w:p>
    <w:p w14:paraId="3B430C37" w14:textId="77777777" w:rsidR="00302002" w:rsidRPr="0098021F" w:rsidRDefault="00302002" w:rsidP="00302002">
      <w:pPr>
        <w:ind w:right="-1759"/>
      </w:pPr>
    </w:p>
    <w:p w14:paraId="16387672" w14:textId="77777777" w:rsidR="00302002" w:rsidRPr="0098021F" w:rsidRDefault="00302002" w:rsidP="00302002">
      <w:pPr>
        <w:ind w:right="-1759"/>
      </w:pPr>
      <w:r w:rsidRPr="0098021F">
        <w:t xml:space="preserve">Orienteringen fastsætter: </w:t>
      </w:r>
      <w:r w:rsidRPr="0098021F">
        <w:rPr>
          <w:i/>
        </w:rPr>
        <w:t>”Et støjvilkår vil som hidtil medføre krav om overholdelse af de vejledende støjgrænser, samt beregning af støj fra de konkrete fartøjer. I beregningen skal beregningsmetoden angivet i vindmøllebekendtgørelsens bilag 1, afsnit 1.2, for multiple refleksioner indgå.”</w:t>
      </w:r>
    </w:p>
    <w:p w14:paraId="0F24AC70" w14:textId="77777777" w:rsidR="00302002" w:rsidRDefault="00302002" w:rsidP="00302002">
      <w:pPr>
        <w:ind w:right="-1759"/>
      </w:pPr>
      <w:bookmarkStart w:id="0" w:name="_GoBack"/>
      <w:bookmarkEnd w:id="0"/>
    </w:p>
    <w:p w14:paraId="0CF800EF" w14:textId="59E3F796" w:rsidR="00667901" w:rsidRDefault="009365DB" w:rsidP="00302002">
      <w:pPr>
        <w:ind w:right="-1759"/>
      </w:pPr>
      <w:r>
        <w:t xml:space="preserve">I denne FAQ gennemgås </w:t>
      </w:r>
      <w:r w:rsidR="00667901">
        <w:t>hvilken beregningsmetode, som skal anvendes, og hvordan beregningen kan inddrage korrektion for multiple refleksioner.</w:t>
      </w:r>
    </w:p>
    <w:p w14:paraId="214885CD" w14:textId="77777777" w:rsidR="00667901" w:rsidRDefault="00667901" w:rsidP="00302002">
      <w:pPr>
        <w:ind w:right="-1759"/>
      </w:pPr>
    </w:p>
    <w:p w14:paraId="7641CD0E" w14:textId="404027BA" w:rsidR="00302002" w:rsidRDefault="00302002" w:rsidP="00302002">
      <w:pPr>
        <w:ind w:right="-1759"/>
      </w:pPr>
      <w:r w:rsidRPr="0098021F">
        <w:t>Støj</w:t>
      </w:r>
      <w:r w:rsidR="00667901">
        <w:t xml:space="preserve"> fra råstofindvinding er </w:t>
      </w:r>
      <w:r w:rsidRPr="0098021F">
        <w:t>omfattet af Miljøstyrelsens vejledning om ekstern støj fra virksomheder. I sager, hvor der stilles et støjvilkår, skal beregninger derfor vise, at vejledningens støjgrænser kan overholdes. Måling af et fartøjs kildestyrke foretages efter Miljøstyrelsens vejledning om beregning af ekstern støj fra virksomheder. Støjberegninger skal efter den nye praksis suppleres med en korrektion for multiple refleksioner, som beskrives nærmere herunder.</w:t>
      </w:r>
    </w:p>
    <w:p w14:paraId="55648C25" w14:textId="77777777" w:rsidR="00302002" w:rsidRDefault="00302002" w:rsidP="00302002">
      <w:pPr>
        <w:ind w:right="-1759"/>
      </w:pPr>
    </w:p>
    <w:p w14:paraId="0D613D3D" w14:textId="77777777" w:rsidR="00302002" w:rsidRDefault="00302002" w:rsidP="00302002">
      <w:pPr>
        <w:ind w:right="-1759"/>
      </w:pPr>
      <w:r w:rsidRPr="009C45D6">
        <w:t>Multiple refleksioner opstår, når lyd udbreder sig over en hård overflade, og der er en positiv lydhastighedsgradient, dvs. lydens hastighed stiger med højden over terræn. Dette kan forekomme ved situationer med medvind og konstant eller stigende temperatur med højden. Det er blevet undersøgt, hvor ofte disse forhold kan forekomme ved de danske kyster</w:t>
      </w:r>
      <w:r w:rsidRPr="009C45D6">
        <w:rPr>
          <w:vertAlign w:val="superscript"/>
        </w:rPr>
        <w:footnoteReference w:id="1"/>
      </w:r>
      <w:r w:rsidRPr="009C45D6">
        <w:t>, og det konkluderes, at multiple refleksioner kan opstå på alle tidspunkter af året, men der er størst sandsynlighed i sommerperioden om natten.</w:t>
      </w:r>
    </w:p>
    <w:p w14:paraId="6676FFCF" w14:textId="77777777" w:rsidR="00302002" w:rsidRPr="009C45D6" w:rsidRDefault="00302002" w:rsidP="00302002">
      <w:pPr>
        <w:ind w:right="-1759"/>
      </w:pPr>
    </w:p>
    <w:p w14:paraId="7E40A04E" w14:textId="77777777" w:rsidR="00302002" w:rsidRPr="0098021F" w:rsidRDefault="00302002" w:rsidP="00302002">
      <w:pPr>
        <w:ind w:right="-1759"/>
      </w:pPr>
      <w:r w:rsidRPr="009C45D6">
        <w:t>Resultaterne fra undersøgelsen viser tillige, at det er muligt for multiple refleksioner at opstå i mere end 40 % af tiden ved vindhastigheder under 5 m/s.</w:t>
      </w:r>
    </w:p>
    <w:p w14:paraId="1052D70F" w14:textId="77777777" w:rsidR="00302002" w:rsidRDefault="00302002" w:rsidP="00302002">
      <w:pPr>
        <w:pStyle w:val="Overskrift1"/>
        <w:ind w:right="-1759"/>
      </w:pPr>
      <w:r w:rsidRPr="0098021F">
        <w:t>Implementering af korrektion for multiple refleksioner i støjberegninger</w:t>
      </w:r>
    </w:p>
    <w:p w14:paraId="551124B4" w14:textId="77777777" w:rsidR="00302002" w:rsidRDefault="00302002" w:rsidP="00302002">
      <w:pPr>
        <w:ind w:right="-1759"/>
      </w:pPr>
      <w:r w:rsidRPr="0098021F">
        <w:t>Korrektionen for multiple refleksioner tager udgangspunkt i beregningsmetoden fra vindmøllestøjbekendtgørelsens bilag 1</w:t>
      </w:r>
      <w:r w:rsidRPr="0098021F">
        <w:rPr>
          <w:vertAlign w:val="superscript"/>
        </w:rPr>
        <w:footnoteReference w:id="2"/>
      </w:r>
      <w:r w:rsidRPr="0098021F">
        <w:t xml:space="preserve">, som er baseret på målinger og beregninger af lydudbredelse </w:t>
      </w:r>
      <w:r w:rsidRPr="0098021F">
        <w:lastRenderedPageBreak/>
        <w:t>over vand</w:t>
      </w:r>
      <w:r w:rsidRPr="0098021F">
        <w:rPr>
          <w:vertAlign w:val="superscript"/>
        </w:rPr>
        <w:footnoteReference w:id="3"/>
      </w:r>
      <w:r w:rsidRPr="0098021F">
        <w:t>. Korrektionen afhænger af vindhastigheden, kildehøjden og afstanden mellem kilden og kysten.</w:t>
      </w:r>
    </w:p>
    <w:p w14:paraId="0DB9E775" w14:textId="77777777" w:rsidR="00302002" w:rsidRPr="0098021F" w:rsidRDefault="00302002" w:rsidP="00302002">
      <w:pPr>
        <w:ind w:right="-1759"/>
      </w:pPr>
    </w:p>
    <w:p w14:paraId="2FF133B8" w14:textId="77777777" w:rsidR="00302002" w:rsidRPr="0098021F" w:rsidRDefault="00302002" w:rsidP="00302002">
      <w:pPr>
        <w:ind w:right="-1759"/>
      </w:pPr>
      <w:r w:rsidRPr="0098021F">
        <w:t>Miljøstyrelsen vurderer, at den relativt lave støjkildehøjde for indvindingsskibe – i modsætning til vindmøller – kan øge sandsynligheden for, at bølger på havoverfladen kan have betydning for bidraget fra multiple refleksioner. Miljøstyrelsen vurderer også, at bølgerne ikke nødvendigvis vil forhindre multiple refleksioner i at opstå, men størrelsen af korrektionen kan blive reduceret afhængigt af bølgernes størrelse – især ved højere frekvenser, hvor længden af lydbølgerne er kortere.</w:t>
      </w:r>
    </w:p>
    <w:p w14:paraId="5359E6DF" w14:textId="77777777" w:rsidR="00302002" w:rsidRDefault="00302002" w:rsidP="00302002">
      <w:pPr>
        <w:ind w:right="-1759"/>
      </w:pPr>
    </w:p>
    <w:p w14:paraId="3AFAC85D" w14:textId="77777777" w:rsidR="00302002" w:rsidRDefault="00302002" w:rsidP="00302002">
      <w:pPr>
        <w:ind w:right="-1759"/>
      </w:pPr>
      <w:r w:rsidRPr="0098021F">
        <w:t>Beregningerne tager derfor udgangspunkt i stille vejr med en fast vindhastighed på 1 m/s, hvor bølger på havoverfladen antages at være af mindre betydning.</w:t>
      </w:r>
    </w:p>
    <w:p w14:paraId="41E558F9" w14:textId="77777777" w:rsidR="00302002" w:rsidRPr="0098021F" w:rsidRDefault="00302002" w:rsidP="00302002">
      <w:pPr>
        <w:ind w:right="-1759"/>
      </w:pPr>
    </w:p>
    <w:p w14:paraId="16932359" w14:textId="77777777" w:rsidR="00302002" w:rsidRDefault="00302002" w:rsidP="00302002">
      <w:pPr>
        <w:ind w:right="-1759"/>
      </w:pPr>
      <w:r w:rsidRPr="0098021F">
        <w:t>Tabel 1 angiver gennemsnitlige korrektioner for multiple refleksioner for en kildehøjde på 3 m ved forskellige afstande til kysten. Disse tabelværdier kan bruges direkte som tillæg til støjberegningerne og lægges til det endelige resultat i de enkelte beregningspunkter. Kildehøjden på 3 m er valgt på baggrund af et antal kildestyrkemålinger af indvindingsskibe, hvor dette er den gennemsnitlige kildehøjde.</w:t>
      </w:r>
    </w:p>
    <w:p w14:paraId="25BFCD79" w14:textId="77777777" w:rsidR="00302002" w:rsidRPr="0098021F" w:rsidRDefault="00302002" w:rsidP="00302002">
      <w:pPr>
        <w:ind w:right="-1759"/>
      </w:pPr>
    </w:p>
    <w:tbl>
      <w:tblPr>
        <w:tblStyle w:val="Tabelgitter-lys"/>
        <w:tblW w:w="9070" w:type="dxa"/>
        <w:tblLook w:val="04A0" w:firstRow="1" w:lastRow="0" w:firstColumn="1" w:lastColumn="0" w:noHBand="0" w:noVBand="1"/>
      </w:tblPr>
      <w:tblGrid>
        <w:gridCol w:w="1814"/>
        <w:gridCol w:w="907"/>
        <w:gridCol w:w="907"/>
        <w:gridCol w:w="907"/>
        <w:gridCol w:w="907"/>
        <w:gridCol w:w="907"/>
        <w:gridCol w:w="907"/>
        <w:gridCol w:w="907"/>
        <w:gridCol w:w="907"/>
      </w:tblGrid>
      <w:tr w:rsidR="00302002" w:rsidRPr="0098021F" w14:paraId="2D8BA9E9" w14:textId="77777777" w:rsidTr="006D5EFA">
        <w:trPr>
          <w:trHeight w:val="340"/>
        </w:trPr>
        <w:tc>
          <w:tcPr>
            <w:tcW w:w="1814" w:type="dxa"/>
            <w:vMerge w:val="restart"/>
            <w:shd w:val="clear" w:color="auto" w:fill="00874B" w:themeFill="accent1"/>
          </w:tcPr>
          <w:p w14:paraId="4A3A6104" w14:textId="77777777" w:rsidR="00302002" w:rsidRPr="0098021F" w:rsidRDefault="00302002" w:rsidP="006D5EFA">
            <w:pPr>
              <w:spacing w:line="260" w:lineRule="atLeast"/>
              <w:ind w:right="-1759"/>
              <w:rPr>
                <w:b/>
              </w:rPr>
            </w:pPr>
          </w:p>
        </w:tc>
        <w:tc>
          <w:tcPr>
            <w:tcW w:w="7256" w:type="dxa"/>
            <w:gridSpan w:val="8"/>
            <w:shd w:val="clear" w:color="auto" w:fill="00874B" w:themeFill="accent1"/>
            <w:vAlign w:val="center"/>
          </w:tcPr>
          <w:p w14:paraId="3CA8A9EC" w14:textId="77777777" w:rsidR="00302002" w:rsidRPr="0098021F" w:rsidRDefault="00302002" w:rsidP="006D5EFA">
            <w:pPr>
              <w:spacing w:line="260" w:lineRule="atLeast"/>
              <w:jc w:val="center"/>
              <w:rPr>
                <w:b/>
                <w:color w:val="FFFFFF" w:themeColor="background1"/>
              </w:rPr>
            </w:pPr>
            <w:r>
              <w:rPr>
                <w:b/>
                <w:color w:val="FFFFFF" w:themeColor="background1"/>
              </w:rPr>
              <w:t>Afstand til kysten [km]</w:t>
            </w:r>
          </w:p>
        </w:tc>
      </w:tr>
      <w:tr w:rsidR="00302002" w:rsidRPr="0098021F" w14:paraId="5E81EF39" w14:textId="77777777" w:rsidTr="006D5EFA">
        <w:trPr>
          <w:trHeight w:val="340"/>
        </w:trPr>
        <w:tc>
          <w:tcPr>
            <w:tcW w:w="1814" w:type="dxa"/>
            <w:vMerge/>
            <w:shd w:val="clear" w:color="auto" w:fill="00874B" w:themeFill="accent1"/>
          </w:tcPr>
          <w:p w14:paraId="62022E0D" w14:textId="77777777" w:rsidR="00302002" w:rsidRPr="0098021F" w:rsidRDefault="00302002" w:rsidP="006D5EFA">
            <w:pPr>
              <w:spacing w:line="260" w:lineRule="atLeast"/>
              <w:ind w:right="-1759"/>
              <w:rPr>
                <w:b/>
              </w:rPr>
            </w:pPr>
          </w:p>
        </w:tc>
        <w:tc>
          <w:tcPr>
            <w:tcW w:w="907" w:type="dxa"/>
            <w:shd w:val="clear" w:color="auto" w:fill="00874B" w:themeFill="accent1"/>
            <w:vAlign w:val="center"/>
          </w:tcPr>
          <w:p w14:paraId="08ADA3D5" w14:textId="77777777" w:rsidR="00302002" w:rsidRPr="0098021F" w:rsidRDefault="00302002" w:rsidP="006D5EFA">
            <w:pPr>
              <w:spacing w:line="260" w:lineRule="atLeast"/>
              <w:ind w:right="-1759"/>
              <w:rPr>
                <w:b/>
                <w:color w:val="FFFFFF" w:themeColor="background1"/>
              </w:rPr>
            </w:pPr>
            <w:r w:rsidRPr="0098021F">
              <w:rPr>
                <w:b/>
                <w:color w:val="FFFFFF" w:themeColor="background1"/>
              </w:rPr>
              <w:t>0,0-0,5</w:t>
            </w:r>
          </w:p>
        </w:tc>
        <w:tc>
          <w:tcPr>
            <w:tcW w:w="907" w:type="dxa"/>
            <w:shd w:val="clear" w:color="auto" w:fill="00874B" w:themeFill="accent1"/>
            <w:vAlign w:val="center"/>
          </w:tcPr>
          <w:p w14:paraId="0872E691" w14:textId="77777777" w:rsidR="00302002" w:rsidRPr="0098021F" w:rsidRDefault="00302002" w:rsidP="006D5EFA">
            <w:pPr>
              <w:spacing w:line="260" w:lineRule="atLeast"/>
              <w:ind w:right="-1759"/>
              <w:rPr>
                <w:b/>
                <w:color w:val="FFFFFF" w:themeColor="background1"/>
              </w:rPr>
            </w:pPr>
            <w:r w:rsidRPr="0098021F">
              <w:rPr>
                <w:b/>
                <w:color w:val="FFFFFF" w:themeColor="background1"/>
              </w:rPr>
              <w:t>0,5-1,0</w:t>
            </w:r>
          </w:p>
        </w:tc>
        <w:tc>
          <w:tcPr>
            <w:tcW w:w="907" w:type="dxa"/>
            <w:shd w:val="clear" w:color="auto" w:fill="00874B" w:themeFill="accent1"/>
            <w:vAlign w:val="center"/>
          </w:tcPr>
          <w:p w14:paraId="3B040764" w14:textId="77777777" w:rsidR="00302002" w:rsidRPr="0098021F" w:rsidRDefault="00302002" w:rsidP="006D5EFA">
            <w:pPr>
              <w:spacing w:line="260" w:lineRule="atLeast"/>
              <w:ind w:right="-1759"/>
              <w:rPr>
                <w:b/>
                <w:color w:val="FFFFFF" w:themeColor="background1"/>
              </w:rPr>
            </w:pPr>
            <w:r w:rsidRPr="0098021F">
              <w:rPr>
                <w:b/>
                <w:color w:val="FFFFFF" w:themeColor="background1"/>
              </w:rPr>
              <w:t>1,0-1,5</w:t>
            </w:r>
          </w:p>
        </w:tc>
        <w:tc>
          <w:tcPr>
            <w:tcW w:w="907" w:type="dxa"/>
            <w:shd w:val="clear" w:color="auto" w:fill="00874B" w:themeFill="accent1"/>
            <w:vAlign w:val="center"/>
          </w:tcPr>
          <w:p w14:paraId="249C6271" w14:textId="77777777" w:rsidR="00302002" w:rsidRPr="0098021F" w:rsidRDefault="00302002" w:rsidP="006D5EFA">
            <w:pPr>
              <w:spacing w:line="260" w:lineRule="atLeast"/>
              <w:ind w:right="-1759"/>
              <w:rPr>
                <w:b/>
                <w:color w:val="FFFFFF" w:themeColor="background1"/>
              </w:rPr>
            </w:pPr>
            <w:r w:rsidRPr="0098021F">
              <w:rPr>
                <w:b/>
                <w:color w:val="FFFFFF" w:themeColor="background1"/>
              </w:rPr>
              <w:t>1,5-2,0</w:t>
            </w:r>
          </w:p>
        </w:tc>
        <w:tc>
          <w:tcPr>
            <w:tcW w:w="907" w:type="dxa"/>
            <w:shd w:val="clear" w:color="auto" w:fill="00874B" w:themeFill="accent1"/>
            <w:vAlign w:val="center"/>
          </w:tcPr>
          <w:p w14:paraId="1E795E19" w14:textId="77777777" w:rsidR="00302002" w:rsidRPr="0098021F" w:rsidRDefault="00302002" w:rsidP="006D5EFA">
            <w:pPr>
              <w:spacing w:line="260" w:lineRule="atLeast"/>
              <w:ind w:right="-1759"/>
              <w:rPr>
                <w:b/>
                <w:color w:val="FFFFFF" w:themeColor="background1"/>
              </w:rPr>
            </w:pPr>
            <w:r w:rsidRPr="0098021F">
              <w:rPr>
                <w:b/>
                <w:color w:val="FFFFFF" w:themeColor="background1"/>
              </w:rPr>
              <w:t>2,0-2,5</w:t>
            </w:r>
          </w:p>
        </w:tc>
        <w:tc>
          <w:tcPr>
            <w:tcW w:w="907" w:type="dxa"/>
            <w:shd w:val="clear" w:color="auto" w:fill="00874B" w:themeFill="accent1"/>
            <w:vAlign w:val="center"/>
          </w:tcPr>
          <w:p w14:paraId="311B9EC7" w14:textId="77777777" w:rsidR="00302002" w:rsidRPr="0098021F" w:rsidRDefault="00302002" w:rsidP="006D5EFA">
            <w:pPr>
              <w:spacing w:line="260" w:lineRule="atLeast"/>
              <w:ind w:right="-1759"/>
              <w:rPr>
                <w:b/>
                <w:color w:val="FFFFFF" w:themeColor="background1"/>
              </w:rPr>
            </w:pPr>
            <w:r w:rsidRPr="0098021F">
              <w:rPr>
                <w:b/>
                <w:color w:val="FFFFFF" w:themeColor="background1"/>
              </w:rPr>
              <w:t>2,5-3,0</w:t>
            </w:r>
          </w:p>
        </w:tc>
        <w:tc>
          <w:tcPr>
            <w:tcW w:w="907" w:type="dxa"/>
            <w:shd w:val="clear" w:color="auto" w:fill="00874B" w:themeFill="accent1"/>
            <w:vAlign w:val="center"/>
          </w:tcPr>
          <w:p w14:paraId="0BA70CE4" w14:textId="77777777" w:rsidR="00302002" w:rsidRPr="0098021F" w:rsidRDefault="00302002" w:rsidP="006D5EFA">
            <w:pPr>
              <w:spacing w:line="260" w:lineRule="atLeast"/>
              <w:ind w:right="-1759"/>
              <w:rPr>
                <w:b/>
                <w:color w:val="FFFFFF" w:themeColor="background1"/>
              </w:rPr>
            </w:pPr>
            <w:r w:rsidRPr="0098021F">
              <w:rPr>
                <w:b/>
                <w:color w:val="FFFFFF" w:themeColor="background1"/>
              </w:rPr>
              <w:t>3,0-3,5</w:t>
            </w:r>
          </w:p>
        </w:tc>
        <w:tc>
          <w:tcPr>
            <w:tcW w:w="907" w:type="dxa"/>
            <w:shd w:val="clear" w:color="auto" w:fill="00874B" w:themeFill="accent1"/>
            <w:vAlign w:val="center"/>
          </w:tcPr>
          <w:p w14:paraId="22A63D14" w14:textId="77777777" w:rsidR="00302002" w:rsidRPr="0098021F" w:rsidRDefault="00302002" w:rsidP="006D5EFA">
            <w:pPr>
              <w:spacing w:line="260" w:lineRule="atLeast"/>
              <w:ind w:right="-1759"/>
              <w:rPr>
                <w:b/>
                <w:color w:val="FFFFFF" w:themeColor="background1"/>
              </w:rPr>
            </w:pPr>
            <w:r w:rsidRPr="0098021F">
              <w:rPr>
                <w:b/>
                <w:color w:val="FFFFFF" w:themeColor="background1"/>
              </w:rPr>
              <w:t>3,5-4,0</w:t>
            </w:r>
          </w:p>
        </w:tc>
      </w:tr>
      <w:tr w:rsidR="00302002" w:rsidRPr="0098021F" w14:paraId="62D94CB5" w14:textId="77777777" w:rsidTr="006D5EFA">
        <w:trPr>
          <w:trHeight w:val="340"/>
        </w:trPr>
        <w:tc>
          <w:tcPr>
            <w:tcW w:w="1814" w:type="dxa"/>
            <w:shd w:val="clear" w:color="auto" w:fill="00874B" w:themeFill="accent1"/>
            <w:vAlign w:val="center"/>
          </w:tcPr>
          <w:p w14:paraId="39C33812" w14:textId="77777777" w:rsidR="00302002" w:rsidRPr="0098021F" w:rsidRDefault="00302002" w:rsidP="006D5EFA">
            <w:pPr>
              <w:spacing w:line="260" w:lineRule="atLeast"/>
              <w:ind w:right="-1759"/>
              <w:rPr>
                <w:b/>
                <w:color w:val="FFFFFF" w:themeColor="background1"/>
              </w:rPr>
            </w:pPr>
            <w:r w:rsidRPr="0098021F">
              <w:rPr>
                <w:b/>
                <w:color w:val="FFFFFF" w:themeColor="background1"/>
              </w:rPr>
              <w:t>Kildehøjde: 3 m</w:t>
            </w:r>
          </w:p>
        </w:tc>
        <w:tc>
          <w:tcPr>
            <w:tcW w:w="907" w:type="dxa"/>
            <w:vAlign w:val="center"/>
          </w:tcPr>
          <w:p w14:paraId="114AE6A1" w14:textId="77777777" w:rsidR="00302002" w:rsidRPr="0098021F" w:rsidRDefault="00302002" w:rsidP="006D5EFA">
            <w:pPr>
              <w:spacing w:line="260" w:lineRule="atLeast"/>
              <w:ind w:right="-128"/>
              <w:jc w:val="center"/>
            </w:pPr>
            <w:r w:rsidRPr="0098021F">
              <w:t>0,0</w:t>
            </w:r>
          </w:p>
        </w:tc>
        <w:tc>
          <w:tcPr>
            <w:tcW w:w="907" w:type="dxa"/>
            <w:vAlign w:val="center"/>
          </w:tcPr>
          <w:p w14:paraId="017E6B09" w14:textId="77777777" w:rsidR="00302002" w:rsidRPr="0098021F" w:rsidRDefault="00302002" w:rsidP="006D5EFA">
            <w:pPr>
              <w:spacing w:line="260" w:lineRule="atLeast"/>
              <w:ind w:right="-167"/>
              <w:jc w:val="center"/>
            </w:pPr>
            <w:r w:rsidRPr="0098021F">
              <w:t>2,1</w:t>
            </w:r>
          </w:p>
        </w:tc>
        <w:tc>
          <w:tcPr>
            <w:tcW w:w="907" w:type="dxa"/>
            <w:vAlign w:val="center"/>
          </w:tcPr>
          <w:p w14:paraId="69DCE2C0" w14:textId="77777777" w:rsidR="00302002" w:rsidRPr="0098021F" w:rsidRDefault="00302002" w:rsidP="006D5EFA">
            <w:pPr>
              <w:spacing w:line="260" w:lineRule="atLeast"/>
              <w:ind w:right="-128"/>
              <w:jc w:val="center"/>
            </w:pPr>
            <w:r w:rsidRPr="0098021F">
              <w:t>4,4</w:t>
            </w:r>
          </w:p>
        </w:tc>
        <w:tc>
          <w:tcPr>
            <w:tcW w:w="907" w:type="dxa"/>
            <w:vAlign w:val="center"/>
          </w:tcPr>
          <w:p w14:paraId="59F3DF94" w14:textId="77777777" w:rsidR="00302002" w:rsidRPr="0098021F" w:rsidRDefault="00302002" w:rsidP="006D5EFA">
            <w:pPr>
              <w:spacing w:line="260" w:lineRule="atLeast"/>
              <w:ind w:right="-128"/>
              <w:jc w:val="center"/>
            </w:pPr>
            <w:r w:rsidRPr="0098021F">
              <w:t>6,5</w:t>
            </w:r>
          </w:p>
        </w:tc>
        <w:tc>
          <w:tcPr>
            <w:tcW w:w="907" w:type="dxa"/>
            <w:vAlign w:val="center"/>
          </w:tcPr>
          <w:p w14:paraId="7BD5116B" w14:textId="77777777" w:rsidR="00302002" w:rsidRPr="0098021F" w:rsidRDefault="00302002" w:rsidP="006D5EFA">
            <w:pPr>
              <w:spacing w:line="260" w:lineRule="atLeast"/>
              <w:ind w:right="-130"/>
              <w:jc w:val="center"/>
            </w:pPr>
            <w:r w:rsidRPr="0098021F">
              <w:t>8,1</w:t>
            </w:r>
          </w:p>
        </w:tc>
        <w:tc>
          <w:tcPr>
            <w:tcW w:w="907" w:type="dxa"/>
            <w:vAlign w:val="center"/>
          </w:tcPr>
          <w:p w14:paraId="380A4236" w14:textId="77777777" w:rsidR="00302002" w:rsidRPr="0098021F" w:rsidRDefault="00302002" w:rsidP="006D5EFA">
            <w:pPr>
              <w:spacing w:line="260" w:lineRule="atLeast"/>
              <w:ind w:right="-128"/>
              <w:jc w:val="center"/>
            </w:pPr>
            <w:r w:rsidRPr="0098021F">
              <w:t>9,1</w:t>
            </w:r>
          </w:p>
        </w:tc>
        <w:tc>
          <w:tcPr>
            <w:tcW w:w="907" w:type="dxa"/>
            <w:vAlign w:val="center"/>
          </w:tcPr>
          <w:p w14:paraId="7C9AF3B2" w14:textId="77777777" w:rsidR="00302002" w:rsidRPr="0098021F" w:rsidRDefault="00302002" w:rsidP="006D5EFA">
            <w:pPr>
              <w:spacing w:line="260" w:lineRule="atLeast"/>
              <w:ind w:right="-166"/>
              <w:jc w:val="center"/>
            </w:pPr>
            <w:r w:rsidRPr="0098021F">
              <w:t>9,8</w:t>
            </w:r>
          </w:p>
        </w:tc>
        <w:tc>
          <w:tcPr>
            <w:tcW w:w="907" w:type="dxa"/>
            <w:vAlign w:val="center"/>
          </w:tcPr>
          <w:p w14:paraId="5F83EAF3" w14:textId="77777777" w:rsidR="00302002" w:rsidRPr="0098021F" w:rsidRDefault="00302002" w:rsidP="006D5EFA">
            <w:pPr>
              <w:spacing w:line="260" w:lineRule="atLeast"/>
              <w:ind w:right="-128"/>
              <w:jc w:val="center"/>
            </w:pPr>
            <w:r w:rsidRPr="0098021F">
              <w:t>10,4</w:t>
            </w:r>
          </w:p>
        </w:tc>
      </w:tr>
    </w:tbl>
    <w:p w14:paraId="4560B331" w14:textId="77777777" w:rsidR="00302002" w:rsidRPr="0098021F" w:rsidRDefault="00302002" w:rsidP="00302002">
      <w:pPr>
        <w:ind w:right="-1759"/>
        <w:rPr>
          <w:i/>
        </w:rPr>
      </w:pPr>
      <w:r w:rsidRPr="0098021F">
        <w:rPr>
          <w:b/>
          <w:i/>
        </w:rPr>
        <w:t>Tabel 1:</w:t>
      </w:r>
      <w:r w:rsidRPr="0098021F">
        <w:rPr>
          <w:i/>
        </w:rPr>
        <w:t xml:space="preserve"> Gennemsnitlige korrektioner </w:t>
      </w:r>
      <w:r>
        <w:rPr>
          <w:i/>
        </w:rPr>
        <w:t xml:space="preserve">i dB </w:t>
      </w:r>
      <w:r w:rsidRPr="0098021F">
        <w:rPr>
          <w:i/>
        </w:rPr>
        <w:t>for multiple refleksioner ved forskellige afstande til kysten og en kildehøjde på 3 m</w:t>
      </w:r>
    </w:p>
    <w:p w14:paraId="29C726CF" w14:textId="77777777" w:rsidR="00302002" w:rsidRDefault="00302002" w:rsidP="00302002">
      <w:pPr>
        <w:ind w:right="-1759"/>
      </w:pPr>
    </w:p>
    <w:p w14:paraId="58289C07" w14:textId="77777777" w:rsidR="00302002" w:rsidRDefault="00302002" w:rsidP="00302002">
      <w:pPr>
        <w:ind w:right="-1759"/>
      </w:pPr>
      <w:r w:rsidRPr="0098021F">
        <w:t>Afstanden til kysten regnes fra årets normale højeste vandstandslinje.</w:t>
      </w:r>
    </w:p>
    <w:p w14:paraId="28F6A7AA" w14:textId="77777777" w:rsidR="00302002" w:rsidRPr="0098021F" w:rsidRDefault="00302002" w:rsidP="00302002">
      <w:pPr>
        <w:ind w:right="-1759"/>
      </w:pPr>
    </w:p>
    <w:p w14:paraId="198AE68C" w14:textId="77777777" w:rsidR="00302002" w:rsidRPr="0098021F" w:rsidRDefault="00302002" w:rsidP="00302002">
      <w:pPr>
        <w:ind w:right="-1759"/>
      </w:pPr>
      <w:r w:rsidRPr="0098021F">
        <w:t>Tabelværdierne giver mulighed for at bruge samme korrektion til flere beregningspunkter, hvis der er nogenlunde samme afstand mellem kilden og kysten i retning mod hvert af beregningspunkterne – dvs. afstande inden for samme interval i tabellen. I dette tilfælde kan det vælges at lægge korrektionen til kildestyrken (i hvert oktavbånd) i stedet for til de enkelte resultater for beregningspunkterne.</w:t>
      </w:r>
    </w:p>
    <w:p w14:paraId="00BB4EC6" w14:textId="77777777" w:rsidR="00302002" w:rsidRDefault="00302002" w:rsidP="00302002">
      <w:pPr>
        <w:ind w:right="-1759"/>
      </w:pPr>
    </w:p>
    <w:p w14:paraId="2CC9A11A" w14:textId="77777777" w:rsidR="00302002" w:rsidRDefault="00302002" w:rsidP="00302002">
      <w:pPr>
        <w:ind w:right="-1759"/>
      </w:pPr>
      <w:r w:rsidRPr="0098021F">
        <w:t xml:space="preserve">Ved større variation i afstand mellem kilden og kysten (set fra kilden i retning mod forskellige beregningspunkter), eller hvis der ønskes større nøjagtighed, kan korrektionen beregnes for hvert beregningspunkt ud fra samme metode som i vindmøllestøjbekendtgørelsen. Dette vil også være nødvendigt, hvis kildehøjden er lavere end 2,5 m eller højere end 3,5 m (tabelværdierne kan anvendes inden for dette interval). </w:t>
      </w:r>
    </w:p>
    <w:p w14:paraId="4E362B80" w14:textId="77777777" w:rsidR="00302002" w:rsidRPr="0098021F" w:rsidRDefault="00302002" w:rsidP="00302002">
      <w:pPr>
        <w:ind w:right="-1759"/>
      </w:pPr>
    </w:p>
    <w:p w14:paraId="0F2FB6AA" w14:textId="77777777" w:rsidR="00302002" w:rsidRDefault="00302002" w:rsidP="00302002">
      <w:pPr>
        <w:ind w:right="-1759"/>
      </w:pPr>
      <w:r w:rsidRPr="0098021F">
        <w:t>Det skal bemærkes, at beregningen af korrektionerne giver frekvensafhængige korrektioner modsat tabelværdierne, der er regnet som gennemsnit og ikke afhænger af frekvensen.</w:t>
      </w:r>
    </w:p>
    <w:p w14:paraId="347F5BCB" w14:textId="77777777" w:rsidR="00302002" w:rsidRPr="0098021F" w:rsidRDefault="00302002" w:rsidP="00302002">
      <w:pPr>
        <w:ind w:right="-1759"/>
      </w:pPr>
    </w:p>
    <w:p w14:paraId="14F151E4" w14:textId="77777777" w:rsidR="00302002" w:rsidRDefault="00302002" w:rsidP="00302002">
      <w:pPr>
        <w:ind w:right="-1759"/>
      </w:pPr>
      <w:r w:rsidRPr="0098021F">
        <w:t>Metoden er beskrevet herunder.</w:t>
      </w:r>
    </w:p>
    <w:p w14:paraId="08DF54D3" w14:textId="77777777" w:rsidR="00302002" w:rsidRDefault="00302002" w:rsidP="00302002">
      <w:pPr>
        <w:pStyle w:val="Overskrift1"/>
        <w:ind w:right="-1759"/>
      </w:pPr>
      <w:r w:rsidRPr="005B00CC">
        <w:t>Beregning af korrektion for multiple refleksioner</w:t>
      </w:r>
    </w:p>
    <w:p w14:paraId="7AC5D095" w14:textId="77777777" w:rsidR="00302002" w:rsidRDefault="00302002" w:rsidP="00302002">
      <w:pPr>
        <w:ind w:right="-1759"/>
      </w:pPr>
      <w:r w:rsidRPr="005B00CC">
        <w:t xml:space="preserve">Tærskelafstanden,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5B00CC">
        <w:t xml:space="preserve">, for multiple refleksioner findes for </w:t>
      </w:r>
      <m:oMath>
        <m:sSub>
          <m:sSubPr>
            <m:ctrlPr>
              <w:rPr>
                <w:rFonts w:ascii="Cambria Math" w:hAnsi="Cambria Math"/>
                <w:i/>
              </w:rPr>
            </m:ctrlPr>
          </m:sSubPr>
          <m:e>
            <m:r>
              <w:rPr>
                <w:rFonts w:ascii="Cambria Math" w:hAnsi="Cambria Math"/>
              </w:rPr>
              <m:t>v</m:t>
            </m:r>
          </m:e>
          <m:sub>
            <m:r>
              <w:rPr>
                <w:rFonts w:ascii="Cambria Math" w:hAnsi="Cambria Math"/>
              </w:rPr>
              <m:t>ref</m:t>
            </m:r>
          </m:sub>
        </m:sSub>
        <m:r>
          <w:rPr>
            <w:rFonts w:ascii="Cambria Math" w:hAnsi="Cambria Math"/>
          </w:rPr>
          <m:t xml:space="preserve">=1 </m:t>
        </m:r>
        <m:r>
          <m:rPr>
            <m:sty m:val="p"/>
          </m:rPr>
          <w:rPr>
            <w:rFonts w:ascii="Cambria Math" w:hAnsi="Cambria Math"/>
          </w:rPr>
          <m:t>m/s</m:t>
        </m:r>
      </m:oMath>
      <w:r w:rsidRPr="005B00CC">
        <w:t xml:space="preserve"> ved ligning 1, hvor </w:t>
      </w:r>
      <m:oMath>
        <m:r>
          <w:rPr>
            <w:rFonts w:ascii="Cambria Math" w:hAnsi="Cambria Math"/>
          </w:rPr>
          <m:t>h</m:t>
        </m:r>
      </m:oMath>
      <w:r w:rsidRPr="005B00CC">
        <w:t xml:space="preserve"> angiver kildehøjden.</w:t>
      </w:r>
    </w:p>
    <w:p w14:paraId="11DFCB3C" w14:textId="77777777" w:rsidR="00302002" w:rsidRPr="005B00CC" w:rsidRDefault="00302002" w:rsidP="00302002">
      <w:pPr>
        <w:ind w:right="-1759"/>
      </w:pPr>
    </w:p>
    <w:p w14:paraId="51846DE0" w14:textId="77777777" w:rsidR="00302002" w:rsidRPr="005B00CC" w:rsidRDefault="00302002" w:rsidP="00302002">
      <w:pPr>
        <w:ind w:right="-1759"/>
        <w:rPr>
          <w:i/>
        </w:rPr>
      </w:pPr>
      <w:r w:rsidRPr="005B00CC">
        <w:rPr>
          <w:noProof/>
        </w:rPr>
        <w:drawing>
          <wp:inline distT="0" distB="0" distL="0" distR="0" wp14:anchorId="27FA5163" wp14:editId="4910FC36">
            <wp:extent cx="5822830" cy="713740"/>
            <wp:effectExtent l="0" t="0" r="6985" b="0"/>
            <wp:docPr id="23" name="Billede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403" cy="714791"/>
                    </a:xfrm>
                    <a:prstGeom prst="rect">
                      <a:avLst/>
                    </a:prstGeom>
                    <a:noFill/>
                    <a:ln>
                      <a:noFill/>
                    </a:ln>
                  </pic:spPr>
                </pic:pic>
              </a:graphicData>
            </a:graphic>
          </wp:inline>
        </w:drawing>
      </w:r>
      <w:r w:rsidRPr="005B00CC">
        <w:br/>
      </w:r>
      <w:r w:rsidRPr="005B00CC">
        <w:rPr>
          <w:b/>
          <w:i/>
        </w:rPr>
        <w:t>Ligning 1:</w:t>
      </w:r>
      <w:r w:rsidRPr="005B00CC">
        <w:rPr>
          <w:i/>
        </w:rPr>
        <w:t xml:space="preserve"> Tærskelafstand for multiple refleksioner</w:t>
      </w:r>
    </w:p>
    <w:p w14:paraId="6078033D" w14:textId="77777777" w:rsidR="00302002" w:rsidRDefault="00302002" w:rsidP="00302002">
      <w:pPr>
        <w:ind w:right="-1759"/>
      </w:pPr>
    </w:p>
    <w:p w14:paraId="77212555" w14:textId="77777777" w:rsidR="00302002" w:rsidRDefault="00302002" w:rsidP="00302002">
      <w:pPr>
        <w:ind w:right="-1759"/>
      </w:pPr>
      <w:r w:rsidRPr="005B00CC">
        <w:t xml:space="preserve">Den normerede afstand, </w:t>
      </w:r>
      <m:oMath>
        <m:r>
          <w:rPr>
            <w:rFonts w:ascii="Cambria Math" w:hAnsi="Cambria Math"/>
          </w:rPr>
          <m:t>l'</m:t>
        </m:r>
      </m:oMath>
      <w:r w:rsidRPr="005B00CC">
        <w:t xml:space="preserve">, mellem kilden og kysten i retning mod beregningspunktet bestemmes ved ligning 2. Afstanden fra kysten regnes fra årets normale højeste vandstandslinje. </w:t>
      </w:r>
    </w:p>
    <w:p w14:paraId="4DA2167A" w14:textId="77777777" w:rsidR="00302002" w:rsidRPr="005B00CC" w:rsidRDefault="00302002" w:rsidP="00302002">
      <w:pPr>
        <w:ind w:right="-1759"/>
      </w:pPr>
    </w:p>
    <w:p w14:paraId="5E453609" w14:textId="77777777" w:rsidR="00302002" w:rsidRPr="005B00CC" w:rsidRDefault="00302002" w:rsidP="00302002">
      <w:pPr>
        <w:ind w:right="-1759"/>
      </w:pPr>
      <w:r w:rsidRPr="005B00CC">
        <w:rPr>
          <w:noProof/>
        </w:rPr>
        <w:drawing>
          <wp:inline distT="0" distB="0" distL="0" distR="0" wp14:anchorId="2BA874C4" wp14:editId="7894522D">
            <wp:extent cx="5822315" cy="821690"/>
            <wp:effectExtent l="0" t="0" r="698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7696" cy="822449"/>
                    </a:xfrm>
                    <a:prstGeom prst="rect">
                      <a:avLst/>
                    </a:prstGeom>
                  </pic:spPr>
                </pic:pic>
              </a:graphicData>
            </a:graphic>
          </wp:inline>
        </w:drawing>
      </w:r>
      <w:r w:rsidRPr="005B00CC">
        <w:rPr>
          <w:b/>
          <w:i/>
        </w:rPr>
        <w:br/>
        <w:t>Ligning 2:</w:t>
      </w:r>
      <w:r w:rsidRPr="005B00CC">
        <w:rPr>
          <w:i/>
        </w:rPr>
        <w:t xml:space="preserve"> Normeret afstand mellem kilden og kysten</w:t>
      </w:r>
    </w:p>
    <w:p w14:paraId="2036F0CE" w14:textId="77777777" w:rsidR="00302002" w:rsidRDefault="00302002" w:rsidP="00302002">
      <w:pPr>
        <w:ind w:right="-1759"/>
      </w:pPr>
    </w:p>
    <w:p w14:paraId="76C0DA23" w14:textId="77777777" w:rsidR="00302002" w:rsidRDefault="00302002" w:rsidP="00302002">
      <w:pPr>
        <w:ind w:right="-1759"/>
      </w:pPr>
      <w:r w:rsidRPr="005B00CC">
        <w:t xml:space="preserve">Korrektionen for multiple refleksioner, </w:t>
      </w:r>
      <m:oMath>
        <m:r>
          <w:rPr>
            <w:rFonts w:ascii="Cambria Math" w:hAnsi="Cambria Math"/>
          </w:rPr>
          <m:t>Δ</m:t>
        </m:r>
        <m:sSub>
          <m:sSubPr>
            <m:ctrlPr>
              <w:rPr>
                <w:rFonts w:ascii="Cambria Math" w:hAnsi="Cambria Math"/>
                <w:i/>
              </w:rPr>
            </m:ctrlPr>
          </m:sSubPr>
          <m:e>
            <m:r>
              <w:rPr>
                <w:rFonts w:ascii="Cambria Math" w:hAnsi="Cambria Math"/>
              </w:rPr>
              <m:t>L</m:t>
            </m:r>
          </m:e>
          <m:sub>
            <m:r>
              <w:rPr>
                <w:rFonts w:ascii="Cambria Math" w:hAnsi="Cambria Math"/>
              </w:rPr>
              <m:t>m</m:t>
            </m:r>
          </m:sub>
        </m:sSub>
      </m:oMath>
      <w:r w:rsidRPr="005B00CC">
        <w:t>, beregnes herefter ved ligning 3.</w:t>
      </w:r>
    </w:p>
    <w:p w14:paraId="5F7D5F9B" w14:textId="77777777" w:rsidR="00302002" w:rsidRPr="005B00CC" w:rsidRDefault="00302002" w:rsidP="00302002">
      <w:pPr>
        <w:ind w:right="-1759"/>
      </w:pPr>
    </w:p>
    <w:p w14:paraId="67C9B6EA" w14:textId="77777777" w:rsidR="00302002" w:rsidRPr="005B00CC" w:rsidRDefault="00302002" w:rsidP="00302002">
      <w:pPr>
        <w:ind w:right="-1759"/>
        <w:rPr>
          <w:i/>
        </w:rPr>
      </w:pPr>
      <w:r w:rsidRPr="005B00CC">
        <w:rPr>
          <w:noProof/>
        </w:rPr>
        <w:drawing>
          <wp:inline distT="0" distB="0" distL="0" distR="0" wp14:anchorId="6D21736B" wp14:editId="3755BF71">
            <wp:extent cx="5822315" cy="1294130"/>
            <wp:effectExtent l="0" t="0" r="6985" b="127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5646" cy="1294870"/>
                    </a:xfrm>
                    <a:prstGeom prst="rect">
                      <a:avLst/>
                    </a:prstGeom>
                  </pic:spPr>
                </pic:pic>
              </a:graphicData>
            </a:graphic>
          </wp:inline>
        </w:drawing>
      </w:r>
      <w:r w:rsidRPr="005B00CC">
        <w:br/>
      </w:r>
      <w:r w:rsidRPr="005B00CC">
        <w:rPr>
          <w:b/>
          <w:i/>
        </w:rPr>
        <w:t>Ligning 3:</w:t>
      </w:r>
      <w:r w:rsidRPr="005B00CC">
        <w:rPr>
          <w:i/>
        </w:rPr>
        <w:t xml:space="preserve"> Beregning af korrektion for multiple refleksioner</w:t>
      </w:r>
    </w:p>
    <w:p w14:paraId="407B27A5" w14:textId="77777777" w:rsidR="00302002" w:rsidRDefault="00302002" w:rsidP="00302002">
      <w:pPr>
        <w:ind w:right="-1759"/>
        <w:rPr>
          <w:b/>
          <w:i/>
        </w:rPr>
      </w:pPr>
    </w:p>
    <w:p w14:paraId="4FACA95A" w14:textId="77777777" w:rsidR="00302002" w:rsidRPr="005B00CC" w:rsidRDefault="00302002" w:rsidP="00302002">
      <w:pPr>
        <w:ind w:right="-1759"/>
      </w:pPr>
      <w:r w:rsidRPr="005B00CC">
        <w:rPr>
          <w:noProof/>
        </w:rPr>
        <w:drawing>
          <wp:inline distT="0" distB="0" distL="0" distR="0" wp14:anchorId="6F9E175B" wp14:editId="1EF2FEF0">
            <wp:extent cx="4572000" cy="1018309"/>
            <wp:effectExtent l="0" t="0" r="0" b="0"/>
            <wp:docPr id="26" name="Billede 26" descr="Lign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gning 1.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4752" cy="1032286"/>
                    </a:xfrm>
                    <a:prstGeom prst="rect">
                      <a:avLst/>
                    </a:prstGeom>
                    <a:noFill/>
                    <a:ln>
                      <a:noFill/>
                    </a:ln>
                  </pic:spPr>
                </pic:pic>
              </a:graphicData>
            </a:graphic>
          </wp:inline>
        </w:drawing>
      </w:r>
      <w:r w:rsidRPr="005B00CC">
        <w:br/>
      </w:r>
      <w:r w:rsidRPr="005B00CC">
        <w:rPr>
          <w:b/>
          <w:i/>
        </w:rPr>
        <w:t>Tabel 2:</w:t>
      </w:r>
      <w:r w:rsidRPr="005B00CC">
        <w:rPr>
          <w:i/>
        </w:rPr>
        <w:t xml:space="preserve"> Skaleringsfaktor N til bestemmelse af korrektion for multiple refleksioner</w:t>
      </w:r>
    </w:p>
    <w:p w14:paraId="2DE9B551" w14:textId="77777777" w:rsidR="00302002" w:rsidRDefault="00302002" w:rsidP="00302002">
      <w:pPr>
        <w:ind w:right="-1759"/>
      </w:pPr>
    </w:p>
    <w:p w14:paraId="79DDB32C" w14:textId="77777777" w:rsidR="00302002" w:rsidRPr="005B00CC" w:rsidRDefault="00302002" w:rsidP="00302002">
      <w:pPr>
        <w:ind w:right="-1759"/>
      </w:pPr>
      <w:r w:rsidRPr="005B00CC">
        <w:t xml:space="preserve">Korrektionen for multiple refleksioner, </w:t>
      </w:r>
      <m:oMath>
        <m:r>
          <w:rPr>
            <w:rFonts w:ascii="Cambria Math" w:hAnsi="Cambria Math"/>
          </w:rPr>
          <m:t>Δ</m:t>
        </m:r>
        <m:sSub>
          <m:sSubPr>
            <m:ctrlPr>
              <w:rPr>
                <w:rFonts w:ascii="Cambria Math" w:hAnsi="Cambria Math"/>
                <w:i/>
              </w:rPr>
            </m:ctrlPr>
          </m:sSubPr>
          <m:e>
            <m:r>
              <w:rPr>
                <w:rFonts w:ascii="Cambria Math" w:hAnsi="Cambria Math"/>
              </w:rPr>
              <m:t>L</m:t>
            </m:r>
          </m:e>
          <m:sub>
            <m:r>
              <w:rPr>
                <w:rFonts w:ascii="Cambria Math" w:hAnsi="Cambria Math"/>
              </w:rPr>
              <m:t>m</m:t>
            </m:r>
          </m:sub>
        </m:sSub>
      </m:oMath>
      <w:r w:rsidRPr="005B00CC">
        <w:t>, regnes for hvert beregningspunkt og lægges til de relevante oktavbånd i resultaterne. Herefter kan det samlede lydtrykniveau i punktet beregnes.</w:t>
      </w:r>
    </w:p>
    <w:p w14:paraId="492F9B84" w14:textId="77777777" w:rsidR="00302002" w:rsidRDefault="00302002" w:rsidP="00302002">
      <w:pPr>
        <w:ind w:right="-1759"/>
      </w:pPr>
    </w:p>
    <w:p w14:paraId="426DEC99" w14:textId="77777777" w:rsidR="00302002" w:rsidRPr="0098021F" w:rsidRDefault="00302002" w:rsidP="00302002">
      <w:pPr>
        <w:ind w:right="-1759"/>
      </w:pPr>
      <w:r w:rsidRPr="005B00CC">
        <w:t xml:space="preserve">Alternativt kan der beregnes et worst case-scenarie, hvor der bruges én frekvensafhængig korrektion, som lægges til de relevante oktavbånd i kildestyrken. Her skal korrektionen, </w:t>
      </w:r>
      <m:oMath>
        <m:r>
          <w:rPr>
            <w:rFonts w:ascii="Cambria Math" w:hAnsi="Cambria Math"/>
          </w:rPr>
          <m:t>Δ</m:t>
        </m:r>
        <m:sSub>
          <m:sSubPr>
            <m:ctrlPr>
              <w:rPr>
                <w:rFonts w:ascii="Cambria Math" w:hAnsi="Cambria Math"/>
                <w:i/>
              </w:rPr>
            </m:ctrlPr>
          </m:sSubPr>
          <m:e>
            <m:r>
              <w:rPr>
                <w:rFonts w:ascii="Cambria Math" w:hAnsi="Cambria Math"/>
              </w:rPr>
              <m:t>L</m:t>
            </m:r>
          </m:e>
          <m:sub>
            <m:r>
              <w:rPr>
                <w:rFonts w:ascii="Cambria Math" w:hAnsi="Cambria Math"/>
              </w:rPr>
              <m:t>m</m:t>
            </m:r>
          </m:sub>
        </m:sSub>
      </m:oMath>
      <w:r w:rsidRPr="005B00CC">
        <w:t>, regnes for det beregningspunkt, hvor afstanden til kysten er længst, da det vil give det største bidrag. Denne tilgang kan overestimere korrektionen i andre beregningspunkter, men giver en simplere beregning, da korrektionen kun skal lægges til kildestyrken.</w:t>
      </w:r>
    </w:p>
    <w:p w14:paraId="0E1A74AA" w14:textId="77777777" w:rsidR="00730F9B" w:rsidRPr="00953410" w:rsidRDefault="00730F9B" w:rsidP="00953410">
      <w:pPr>
        <w:ind w:right="-1759"/>
      </w:pPr>
    </w:p>
    <w:sectPr w:rsidR="00730F9B" w:rsidRPr="00953410" w:rsidSect="0048667B">
      <w:headerReference w:type="default" r:id="rId12"/>
      <w:footerReference w:type="even" r:id="rId13"/>
      <w:footerReference w:type="default" r:id="rId14"/>
      <w:headerReference w:type="first" r:id="rId15"/>
      <w:footerReference w:type="first" r:id="rId16"/>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E0053" w14:textId="77777777" w:rsidR="00136EDF" w:rsidRDefault="00136EDF">
      <w:r>
        <w:separator/>
      </w:r>
    </w:p>
  </w:endnote>
  <w:endnote w:type="continuationSeparator" w:id="0">
    <w:p w14:paraId="53020789" w14:textId="77777777" w:rsidR="00136EDF" w:rsidRDefault="0013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C8C41"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73ED8FB3"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C7CE" w14:textId="34D4B952"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4F1E69">
      <w:rPr>
        <w:rStyle w:val="Sidetal"/>
        <w:noProof/>
      </w:rPr>
      <w:t>3</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8498" w14:textId="77777777" w:rsidR="00EE0137" w:rsidRPr="00956D3A" w:rsidRDefault="003E51BD" w:rsidP="00EE0137">
    <w:pPr>
      <w:pStyle w:val="Template-Address"/>
    </w:pPr>
    <w:bookmarkStart w:id="3" w:name="XIF_MMFirstAddressLine"/>
    <w:bookmarkStart w:id="4" w:name="XIF_MMSecondAddressLine"/>
    <w:bookmarkStart w:id="5" w:name="OFF_WebHIF"/>
    <w:r w:rsidRPr="00D33F53">
      <w:t xml:space="preserve">Miljøstyrelsen </w:t>
    </w:r>
    <w:r w:rsidR="00D20D91" w:rsidRPr="0000398F">
      <w:t xml:space="preserve">• </w:t>
    </w:r>
    <w:bookmarkStart w:id="6" w:name="OFF_AddressA"/>
    <w:bookmarkStart w:id="7" w:name="OFF_AddressAHIF"/>
    <w:r w:rsidR="00D20D91" w:rsidRPr="0000398F">
      <w:t>Tolderlundsvej 5</w:t>
    </w:r>
    <w:bookmarkEnd w:id="6"/>
    <w:r w:rsidR="00D20D91" w:rsidRPr="0000398F">
      <w:t xml:space="preserve"> </w:t>
    </w:r>
    <w:bookmarkEnd w:id="7"/>
    <w:r w:rsidR="00D20D91" w:rsidRPr="0000398F">
      <w:rPr>
        <w:vanish/>
      </w:rPr>
      <w:t xml:space="preserve">• </w:t>
    </w:r>
    <w:bookmarkStart w:id="8" w:name="OFF_AddressB"/>
    <w:bookmarkStart w:id="9" w:name="OFF_AddressBHIF"/>
    <w:bookmarkEnd w:id="8"/>
    <w:r w:rsidR="00D20D91" w:rsidRPr="0000398F">
      <w:rPr>
        <w:vanish/>
      </w:rPr>
      <w:t xml:space="preserve"> </w:t>
    </w:r>
    <w:bookmarkEnd w:id="9"/>
    <w:r w:rsidR="00D20D91" w:rsidRPr="0000398F">
      <w:rPr>
        <w:vanish/>
      </w:rPr>
      <w:t xml:space="preserve">• </w:t>
    </w:r>
    <w:bookmarkStart w:id="10" w:name="OFF_AddressC"/>
    <w:bookmarkStart w:id="11" w:name="OFF_AddressCHIF"/>
    <w:bookmarkEnd w:id="10"/>
    <w:r w:rsidR="00D20D91" w:rsidRPr="0000398F">
      <w:rPr>
        <w:vanish/>
      </w:rPr>
      <w:t xml:space="preserve"> </w:t>
    </w:r>
    <w:bookmarkEnd w:id="11"/>
    <w:r w:rsidR="00D20D91" w:rsidRPr="0000398F">
      <w:t xml:space="preserve">• </w:t>
    </w:r>
    <w:bookmarkStart w:id="12" w:name="OFF_AddressD"/>
    <w:bookmarkStart w:id="13" w:name="OFF_AddressDHIF"/>
    <w:r w:rsidR="00D20D91" w:rsidRPr="0000398F">
      <w:t>5000</w:t>
    </w:r>
    <w:bookmarkEnd w:id="12"/>
    <w:r w:rsidR="00D20D91" w:rsidRPr="0000398F">
      <w:t xml:space="preserve"> </w:t>
    </w:r>
    <w:bookmarkStart w:id="14" w:name="OFF_City"/>
    <w:r w:rsidR="00D20D91" w:rsidRPr="0000398F">
      <w:t>Odense C</w:t>
    </w:r>
    <w:bookmarkEnd w:id="14"/>
    <w:r w:rsidR="00D20D91" w:rsidRPr="0000398F">
      <w:t xml:space="preserve"> </w:t>
    </w:r>
    <w:bookmarkEnd w:id="13"/>
    <w:r w:rsidR="00D20D91" w:rsidRPr="0000398F">
      <w:t>•</w:t>
    </w:r>
    <w:r w:rsidR="00D20D91">
      <w:t xml:space="preserve"> </w:t>
    </w:r>
    <w:bookmarkStart w:id="15" w:name="LAN_Phone"/>
    <w:bookmarkStart w:id="16" w:name="OFF_PhoneHIF"/>
    <w:bookmarkEnd w:id="3"/>
  </w:p>
  <w:p w14:paraId="03D36389" w14:textId="77777777" w:rsidR="00A91FEF" w:rsidRPr="00923722" w:rsidRDefault="00D20D91" w:rsidP="00A3576C">
    <w:pPr>
      <w:pStyle w:val="Template-Address10000"/>
    </w:pPr>
    <w:r w:rsidRPr="00923722">
      <w:t>Tlf.</w:t>
    </w:r>
    <w:bookmarkEnd w:id="15"/>
    <w:r w:rsidRPr="00923722">
      <w:t xml:space="preserve"> </w:t>
    </w:r>
    <w:bookmarkStart w:id="17" w:name="OFF_Phone"/>
    <w:r w:rsidRPr="00923722">
      <w:t>72 54 40 00</w:t>
    </w:r>
    <w:bookmarkEnd w:id="17"/>
    <w:r w:rsidRPr="00923722">
      <w:t xml:space="preserve"> </w:t>
    </w:r>
    <w:bookmarkEnd w:id="16"/>
    <w:r w:rsidRPr="00923722">
      <w:rPr>
        <w:vanish/>
      </w:rPr>
      <w:t xml:space="preserve">• </w:t>
    </w:r>
    <w:bookmarkStart w:id="18" w:name="LAN_Fax"/>
    <w:bookmarkStart w:id="19" w:name="OFF_FaxHIF"/>
    <w:r w:rsidRPr="00923722">
      <w:rPr>
        <w:vanish/>
      </w:rPr>
      <w:t>Fax</w:t>
    </w:r>
    <w:bookmarkEnd w:id="18"/>
    <w:r w:rsidRPr="00923722">
      <w:rPr>
        <w:vanish/>
      </w:rPr>
      <w:t xml:space="preserve"> </w:t>
    </w:r>
    <w:bookmarkStart w:id="20" w:name="OFF_Fax"/>
    <w:bookmarkEnd w:id="20"/>
    <w:r w:rsidRPr="00923722">
      <w:rPr>
        <w:vanish/>
      </w:rPr>
      <w:t xml:space="preserve"> </w:t>
    </w:r>
    <w:bookmarkEnd w:id="19"/>
    <w:r w:rsidRPr="00923722">
      <w:t xml:space="preserve">• </w:t>
    </w:r>
    <w:bookmarkStart w:id="21" w:name="OFF_CVRHIF"/>
    <w:r w:rsidRPr="00923722">
      <w:t xml:space="preserve">CVR </w:t>
    </w:r>
    <w:bookmarkStart w:id="22" w:name="OFF_CVR"/>
    <w:r w:rsidRPr="00923722">
      <w:t>25798376</w:t>
    </w:r>
    <w:bookmarkEnd w:id="22"/>
    <w:r w:rsidRPr="00923722">
      <w:t xml:space="preserve"> </w:t>
    </w:r>
    <w:bookmarkEnd w:id="21"/>
    <w:r w:rsidRPr="00923722">
      <w:t xml:space="preserve">• </w:t>
    </w:r>
    <w:bookmarkStart w:id="23" w:name="OFF_EANHIF"/>
    <w:r w:rsidRPr="00923722">
      <w:t xml:space="preserve">EAN </w:t>
    </w:r>
    <w:bookmarkStart w:id="24" w:name="OFF_EAN"/>
    <w:r w:rsidRPr="00923722">
      <w:t>5798000860810</w:t>
    </w:r>
    <w:bookmarkEnd w:id="24"/>
    <w:r w:rsidRPr="00923722">
      <w:t xml:space="preserve"> </w:t>
    </w:r>
    <w:bookmarkEnd w:id="23"/>
    <w:r w:rsidRPr="00923722">
      <w:t xml:space="preserve">• </w:t>
    </w:r>
    <w:bookmarkStart w:id="25" w:name="OFF_Email"/>
    <w:bookmarkStart w:id="26" w:name="OFF_EmailHIF"/>
    <w:r w:rsidRPr="00923722">
      <w:t>mst@mst.dk</w:t>
    </w:r>
    <w:bookmarkEnd w:id="25"/>
    <w:r w:rsidRPr="00923722">
      <w:t xml:space="preserve"> </w:t>
    </w:r>
    <w:bookmarkEnd w:id="26"/>
    <w:r w:rsidRPr="00923722">
      <w:t xml:space="preserve">• </w:t>
    </w:r>
    <w:bookmarkStart w:id="27" w:name="OFF_Web"/>
    <w:r w:rsidRPr="00923722">
      <w:t>www.mst.dk</w:t>
    </w:r>
    <w:bookmarkEnd w:id="27"/>
    <w:r w:rsidR="00EE0137" w:rsidRPr="00946EE3">
      <w:t xml:space="preserve"> </w:t>
    </w:r>
    <w:bookmarkEnd w:id="4"/>
    <w:bookmarkEnd w:id="5"/>
  </w:p>
  <w:p w14:paraId="5F9E279B"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B080" w14:textId="77777777" w:rsidR="00136EDF" w:rsidRDefault="00136EDF">
      <w:r>
        <w:separator/>
      </w:r>
    </w:p>
  </w:footnote>
  <w:footnote w:type="continuationSeparator" w:id="0">
    <w:p w14:paraId="4B2AFB8E" w14:textId="77777777" w:rsidR="00136EDF" w:rsidRDefault="00136EDF">
      <w:r>
        <w:continuationSeparator/>
      </w:r>
    </w:p>
  </w:footnote>
  <w:footnote w:id="1">
    <w:p w14:paraId="1739D27F" w14:textId="77777777" w:rsidR="00302002" w:rsidRPr="00FB372E" w:rsidRDefault="00302002" w:rsidP="00302002">
      <w:pPr>
        <w:pStyle w:val="Fodnotetekst"/>
        <w:ind w:right="-1759"/>
      </w:pPr>
      <w:r>
        <w:rPr>
          <w:rStyle w:val="Fodnotehenvisning"/>
        </w:rPr>
        <w:footnoteRef/>
      </w:r>
      <w:r w:rsidRPr="00FB372E">
        <w:t xml:space="preserve"> </w:t>
      </w:r>
      <w:r>
        <w:t>”</w:t>
      </w:r>
      <w:r w:rsidRPr="005F248C">
        <w:t>Hyppighed for multiple refleksioner ved de danske kyster</w:t>
      </w:r>
      <w:r>
        <w:t xml:space="preserve">”, Teknisk Notat, </w:t>
      </w:r>
      <w:r w:rsidRPr="005F248C">
        <w:t>Miljøstyrelsens Referencelaboratorium</w:t>
      </w:r>
      <w:r>
        <w:t xml:space="preserve"> for støjmålinger, 2. maj 2024</w:t>
      </w:r>
      <w:r w:rsidRPr="00FB372E">
        <w:t xml:space="preserve"> (</w:t>
      </w:r>
      <w:hyperlink r:id="rId1" w:history="1">
        <w:r w:rsidRPr="00F9649A">
          <w:rPr>
            <w:rStyle w:val="Hyperlink"/>
          </w:rPr>
          <w:t>https://referencelaboratoriet.dk/wp-content/uploads/2024_Hyppighed_for_multiple_refleksioner_omkring_de_danske_kyster_-TC-102213.pdf</w:t>
        </w:r>
      </w:hyperlink>
      <w:r w:rsidRPr="005F248C">
        <w:t>)</w:t>
      </w:r>
    </w:p>
  </w:footnote>
  <w:footnote w:id="2">
    <w:p w14:paraId="204D0EC2" w14:textId="77777777" w:rsidR="00302002" w:rsidRDefault="00302002" w:rsidP="00302002">
      <w:pPr>
        <w:pStyle w:val="Fodnotetekst"/>
      </w:pPr>
      <w:r>
        <w:rPr>
          <w:rStyle w:val="Fodnotehenvisning"/>
        </w:rPr>
        <w:footnoteRef/>
      </w:r>
      <w:r>
        <w:t xml:space="preserve"> Bekendtgørelse</w:t>
      </w:r>
      <w:r w:rsidRPr="00714373">
        <w:t xml:space="preserve"> nr</w:t>
      </w:r>
      <w:r>
        <w:t>.</w:t>
      </w:r>
      <w:r w:rsidRPr="00714373">
        <w:t xml:space="preserve"> 995 af 26/08/2024</w:t>
      </w:r>
      <w:r>
        <w:t xml:space="preserve"> (</w:t>
      </w:r>
      <w:hyperlink r:id="rId2" w:history="1">
        <w:r w:rsidRPr="00127ED5">
          <w:rPr>
            <w:rStyle w:val="Hyperlink"/>
          </w:rPr>
          <w:t>https://www.retsinformation.dk/eli/lta/2024/995</w:t>
        </w:r>
      </w:hyperlink>
      <w:r>
        <w:t>)</w:t>
      </w:r>
    </w:p>
  </w:footnote>
  <w:footnote w:id="3">
    <w:p w14:paraId="473BD9EE" w14:textId="77777777" w:rsidR="00302002" w:rsidRDefault="00302002" w:rsidP="00302002">
      <w:pPr>
        <w:pStyle w:val="Fodnotetekst"/>
        <w:ind w:right="-1759"/>
      </w:pPr>
      <w:r>
        <w:rPr>
          <w:rStyle w:val="Fodnotehenvisning"/>
        </w:rPr>
        <w:footnoteRef/>
      </w:r>
      <w:r>
        <w:t xml:space="preserve"> For yderligere viden om multiple refleksioner henvises til ”PE-beregninger af cylindrisk lydudbredelse”, Teknisk Notat, Miljøstyrelsens Referencelaboratorium for støjmålinger, 17. november 2017 (</w:t>
      </w:r>
      <w:hyperlink r:id="rId3" w:history="1">
        <w:r w:rsidRPr="002A3318">
          <w:rPr>
            <w:rStyle w:val="Hyperlink"/>
          </w:rPr>
          <w:t>https://www2.mst.dk/Udgiv/publikationer/2017/12/PE-beregninger_af_cylindrisk_lydudbredelse.pdf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0567" w14:textId="77777777" w:rsidR="000E717B" w:rsidRDefault="000E717B">
    <w:pPr>
      <w:pStyle w:val="Sidehoved"/>
    </w:pPr>
    <w:bookmarkStart w:id="1" w:name="BIT_PrimaryHeader"/>
  </w:p>
  <w:bookmarkEnd w:id="1"/>
  <w:p w14:paraId="4B211A8E"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B05A" w14:textId="77777777" w:rsidR="00EE0137" w:rsidRPr="00E959A5" w:rsidRDefault="00EE0137" w:rsidP="00EE0137">
    <w:r w:rsidRPr="00E959A5">
      <w:rPr>
        <w:noProof/>
      </w:rPr>
      <mc:AlternateContent>
        <mc:Choice Requires="wps">
          <w:drawing>
            <wp:anchor distT="0" distB="0" distL="114300" distR="114300" simplePos="0" relativeHeight="251657216" behindDoc="0" locked="1" layoutInCell="1" allowOverlap="1" wp14:anchorId="551DF209" wp14:editId="78DB36BB">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4E125E80" w14:textId="77777777">
                            <w:trPr>
                              <w:cantSplit/>
                              <w:trHeight w:val="2778"/>
                            </w:trPr>
                            <w:tc>
                              <w:tcPr>
                                <w:tcW w:w="2755" w:type="dxa"/>
                                <w:tcMar>
                                  <w:top w:w="34" w:type="dxa"/>
                                  <w:left w:w="0" w:type="dxa"/>
                                  <w:bottom w:w="28" w:type="dxa"/>
                                  <w:right w:w="0" w:type="dxa"/>
                                </w:tcMar>
                              </w:tcPr>
                              <w:p w14:paraId="32D63868" w14:textId="77777777" w:rsidR="00411D14" w:rsidRPr="003E51BD" w:rsidRDefault="00411D14" w:rsidP="00411D14">
                                <w:pPr>
                                  <w:pStyle w:val="DocumentName"/>
                                  <w:rPr>
                                    <w:caps w:val="0"/>
                                  </w:rPr>
                                </w:pPr>
                                <w:r w:rsidRPr="003E51BD">
                                  <w:rPr>
                                    <w:caps w:val="0"/>
                                  </w:rPr>
                                  <w:t>Erhverv</w:t>
                                </w:r>
                              </w:p>
                              <w:p w14:paraId="5F3EB1E4" w14:textId="77777777" w:rsidR="00563DC0" w:rsidRPr="00923722" w:rsidRDefault="00D20D91" w:rsidP="00563DC0">
                                <w:r w:rsidRPr="00923722">
                                  <w:t>J.nr. 2023 - 97034</w:t>
                                </w:r>
                              </w:p>
                              <w:p w14:paraId="033B55F1" w14:textId="64A68503" w:rsidR="008036E9" w:rsidRPr="004F1E69" w:rsidRDefault="00D20D91" w:rsidP="00563DC0">
                                <w:r w:rsidRPr="004F1E69">
                                  <w:t xml:space="preserve">Ref. </w:t>
                                </w:r>
                                <w:r w:rsidR="004F1E69">
                                  <w:t>Lachm/</w:t>
                                </w:r>
                                <w:r w:rsidRPr="004F1E69">
                                  <w:t>lobev</w:t>
                                </w:r>
                              </w:p>
                              <w:p w14:paraId="165CB76D" w14:textId="6EA80BD8" w:rsidR="00B85C21" w:rsidRPr="00095830" w:rsidRDefault="00D20D91" w:rsidP="00563DC0">
                                <w:r w:rsidRPr="004F1E69">
                                  <w:t xml:space="preserve">Den </w:t>
                                </w:r>
                                <w:r w:rsidR="004F1E69" w:rsidRPr="004F1E69">
                                  <w:t>25</w:t>
                                </w:r>
                                <w:r w:rsidRPr="004F1E69">
                                  <w:t xml:space="preserve">. </w:t>
                                </w:r>
                                <w:r w:rsidR="0054003B" w:rsidRPr="004F1E69">
                                  <w:t>febru</w:t>
                                </w:r>
                                <w:r w:rsidRPr="004F1E69">
                                  <w:t>ar 2025</w:t>
                                </w:r>
                              </w:p>
                              <w:p w14:paraId="7DF57EE7" w14:textId="77777777" w:rsidR="00EE0137" w:rsidRDefault="00EE0137" w:rsidP="00F351D6">
                                <w:pPr>
                                  <w:pStyle w:val="Kolofontekst"/>
                                </w:pPr>
                              </w:p>
                            </w:tc>
                          </w:tr>
                        </w:tbl>
                        <w:p w14:paraId="31C034A2"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DF209"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721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4E125E80" w14:textId="77777777">
                      <w:trPr>
                        <w:cantSplit/>
                        <w:trHeight w:val="2778"/>
                      </w:trPr>
                      <w:tc>
                        <w:tcPr>
                          <w:tcW w:w="2755" w:type="dxa"/>
                          <w:tcMar>
                            <w:top w:w="34" w:type="dxa"/>
                            <w:left w:w="0" w:type="dxa"/>
                            <w:bottom w:w="28" w:type="dxa"/>
                            <w:right w:w="0" w:type="dxa"/>
                          </w:tcMar>
                        </w:tcPr>
                        <w:p w14:paraId="32D63868" w14:textId="77777777" w:rsidR="00411D14" w:rsidRPr="003E51BD" w:rsidRDefault="00411D14" w:rsidP="00411D14">
                          <w:pPr>
                            <w:pStyle w:val="DocumentName"/>
                            <w:rPr>
                              <w:caps w:val="0"/>
                            </w:rPr>
                          </w:pPr>
                          <w:r w:rsidRPr="003E51BD">
                            <w:rPr>
                              <w:caps w:val="0"/>
                            </w:rPr>
                            <w:t>Erhverv</w:t>
                          </w:r>
                        </w:p>
                        <w:p w14:paraId="5F3EB1E4" w14:textId="77777777" w:rsidR="00563DC0" w:rsidRPr="00923722" w:rsidRDefault="00D20D91" w:rsidP="00563DC0">
                          <w:r w:rsidRPr="00923722">
                            <w:t>J.nr. 2023 - 97034</w:t>
                          </w:r>
                        </w:p>
                        <w:p w14:paraId="033B55F1" w14:textId="64A68503" w:rsidR="008036E9" w:rsidRPr="004F1E69" w:rsidRDefault="00D20D91" w:rsidP="00563DC0">
                          <w:r w:rsidRPr="004F1E69">
                            <w:t xml:space="preserve">Ref. </w:t>
                          </w:r>
                          <w:r w:rsidR="004F1E69">
                            <w:t>Lachm/</w:t>
                          </w:r>
                          <w:r w:rsidRPr="004F1E69">
                            <w:t>lobev</w:t>
                          </w:r>
                        </w:p>
                        <w:p w14:paraId="165CB76D" w14:textId="6EA80BD8" w:rsidR="00B85C21" w:rsidRPr="00095830" w:rsidRDefault="00D20D91" w:rsidP="00563DC0">
                          <w:r w:rsidRPr="004F1E69">
                            <w:t xml:space="preserve">Den </w:t>
                          </w:r>
                          <w:r w:rsidR="004F1E69" w:rsidRPr="004F1E69">
                            <w:t>25</w:t>
                          </w:r>
                          <w:r w:rsidRPr="004F1E69">
                            <w:t xml:space="preserve">. </w:t>
                          </w:r>
                          <w:r w:rsidR="0054003B" w:rsidRPr="004F1E69">
                            <w:t>febru</w:t>
                          </w:r>
                          <w:r w:rsidRPr="004F1E69">
                            <w:t>ar 2025</w:t>
                          </w:r>
                        </w:p>
                        <w:p w14:paraId="7DF57EE7" w14:textId="77777777" w:rsidR="00EE0137" w:rsidRDefault="00EE0137" w:rsidP="00F351D6">
                          <w:pPr>
                            <w:pStyle w:val="Kolofontekst"/>
                          </w:pPr>
                        </w:p>
                      </w:tc>
                    </w:tr>
                  </w:tbl>
                  <w:p w14:paraId="31C034A2" w14:textId="77777777" w:rsidR="00EE0137" w:rsidRDefault="00EE0137" w:rsidP="00EE0137"/>
                </w:txbxContent>
              </v:textbox>
              <w10:wrap anchorx="margin" anchory="page"/>
              <w10:anchorlock/>
            </v:shape>
          </w:pict>
        </mc:Fallback>
      </mc:AlternateContent>
    </w:r>
  </w:p>
  <w:p w14:paraId="0DFF2917" w14:textId="77777777" w:rsidR="00C02650" w:rsidRDefault="003E51BD" w:rsidP="007E1CD7">
    <w:pPr>
      <w:pStyle w:val="DocumentName"/>
      <w:tabs>
        <w:tab w:val="clear" w:pos="9638"/>
        <w:tab w:val="right" w:pos="7230"/>
      </w:tabs>
      <w:rPr>
        <w:caps w:val="0"/>
      </w:rPr>
    </w:pPr>
    <w:bookmarkStart w:id="2" w:name="BIT_DocumentName"/>
    <w:bookmarkEnd w:id="2"/>
    <w:r>
      <w:rPr>
        <w:noProof/>
      </w:rPr>
      <w:drawing>
        <wp:anchor distT="0" distB="0" distL="114300" distR="114300" simplePos="0" relativeHeight="251658240" behindDoc="0" locked="1" layoutInCell="1" allowOverlap="1" wp14:anchorId="0CCFA09E" wp14:editId="14518A78">
          <wp:simplePos x="0" y="0"/>
          <wp:positionH relativeFrom="page">
            <wp:posOffset>5267325</wp:posOffset>
          </wp:positionH>
          <wp:positionV relativeFrom="topMargin">
            <wp:posOffset>346075</wp:posOffset>
          </wp:positionV>
          <wp:extent cx="2294255" cy="843915"/>
          <wp:effectExtent l="0" t="0" r="0" b="0"/>
          <wp:wrapNone/>
          <wp:docPr id="100000"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255" cy="843915"/>
                  </a:xfrm>
                  <a:prstGeom prst="rect">
                    <a:avLst/>
                  </a:prstGeom>
                </pic:spPr>
              </pic:pic>
            </a:graphicData>
          </a:graphic>
          <wp14:sizeRelH relativeFrom="page">
            <wp14:pctWidth>0</wp14:pctWidth>
          </wp14:sizeRelH>
          <wp14:sizeRelV relativeFrom="page">
            <wp14:pctHeight>0</wp14:pctHeight>
          </wp14:sizeRelV>
        </wp:anchor>
      </w:drawing>
    </w:r>
  </w:p>
  <w:p w14:paraId="10D81A45" w14:textId="77777777" w:rsidR="00BB27DA" w:rsidRPr="00953410" w:rsidRDefault="00BB27DA" w:rsidP="007E1CD7">
    <w:pPr>
      <w:pStyle w:val="DocumentName"/>
      <w:tabs>
        <w:tab w:val="clear" w:pos="9638"/>
        <w:tab w:val="right" w:pos="7230"/>
      </w:tabs>
      <w:rPr>
        <w:caps w:val="0"/>
      </w:rPr>
    </w:pPr>
    <w:r>
      <w:rPr>
        <w:caps w:val="0"/>
      </w:rPr>
      <w:t>NOTAT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5449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36EDF"/>
    <w:rsid w:val="0014150F"/>
    <w:rsid w:val="00144670"/>
    <w:rsid w:val="0014616C"/>
    <w:rsid w:val="00150899"/>
    <w:rsid w:val="00152CB8"/>
    <w:rsid w:val="00154300"/>
    <w:rsid w:val="00156908"/>
    <w:rsid w:val="00160721"/>
    <w:rsid w:val="001743E7"/>
    <w:rsid w:val="0018769C"/>
    <w:rsid w:val="001A43C2"/>
    <w:rsid w:val="001A4D56"/>
    <w:rsid w:val="001A58BF"/>
    <w:rsid w:val="001A6CB5"/>
    <w:rsid w:val="001A7272"/>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3DFB"/>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3D7E"/>
    <w:rsid w:val="00284176"/>
    <w:rsid w:val="00293240"/>
    <w:rsid w:val="002933E6"/>
    <w:rsid w:val="0029629D"/>
    <w:rsid w:val="002A29B1"/>
    <w:rsid w:val="002A7860"/>
    <w:rsid w:val="002C042D"/>
    <w:rsid w:val="002C4595"/>
    <w:rsid w:val="002C4D00"/>
    <w:rsid w:val="002D00C9"/>
    <w:rsid w:val="002D03C2"/>
    <w:rsid w:val="002D268E"/>
    <w:rsid w:val="002D7F0F"/>
    <w:rsid w:val="002F177C"/>
    <w:rsid w:val="002F4A3E"/>
    <w:rsid w:val="003001A2"/>
    <w:rsid w:val="003005AD"/>
    <w:rsid w:val="00302002"/>
    <w:rsid w:val="003033ED"/>
    <w:rsid w:val="00310C3C"/>
    <w:rsid w:val="00313642"/>
    <w:rsid w:val="00315AC9"/>
    <w:rsid w:val="00320951"/>
    <w:rsid w:val="003209AA"/>
    <w:rsid w:val="00322BBE"/>
    <w:rsid w:val="00326ED5"/>
    <w:rsid w:val="00331970"/>
    <w:rsid w:val="00334562"/>
    <w:rsid w:val="00341FCF"/>
    <w:rsid w:val="00343A37"/>
    <w:rsid w:val="00345FA9"/>
    <w:rsid w:val="00350582"/>
    <w:rsid w:val="00353B4E"/>
    <w:rsid w:val="003558D9"/>
    <w:rsid w:val="003568B6"/>
    <w:rsid w:val="00362EAC"/>
    <w:rsid w:val="003636D3"/>
    <w:rsid w:val="00365BC4"/>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1D14"/>
    <w:rsid w:val="0041385B"/>
    <w:rsid w:val="00414BA2"/>
    <w:rsid w:val="00415BC0"/>
    <w:rsid w:val="004208E6"/>
    <w:rsid w:val="004232F9"/>
    <w:rsid w:val="00433A1E"/>
    <w:rsid w:val="00440668"/>
    <w:rsid w:val="00442162"/>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1E69"/>
    <w:rsid w:val="004F7C92"/>
    <w:rsid w:val="005009DC"/>
    <w:rsid w:val="00500EFC"/>
    <w:rsid w:val="00501E2E"/>
    <w:rsid w:val="0051781E"/>
    <w:rsid w:val="00520971"/>
    <w:rsid w:val="005267CB"/>
    <w:rsid w:val="00531869"/>
    <w:rsid w:val="00535B7D"/>
    <w:rsid w:val="0054003B"/>
    <w:rsid w:val="00544426"/>
    <w:rsid w:val="005543C3"/>
    <w:rsid w:val="00554FAA"/>
    <w:rsid w:val="005630B4"/>
    <w:rsid w:val="00563773"/>
    <w:rsid w:val="005650F2"/>
    <w:rsid w:val="005672CB"/>
    <w:rsid w:val="00576B90"/>
    <w:rsid w:val="0058155D"/>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6A20"/>
    <w:rsid w:val="005D7152"/>
    <w:rsid w:val="005E352B"/>
    <w:rsid w:val="005E4484"/>
    <w:rsid w:val="005E77EF"/>
    <w:rsid w:val="005F172E"/>
    <w:rsid w:val="005F4C83"/>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67901"/>
    <w:rsid w:val="006706E8"/>
    <w:rsid w:val="0067771A"/>
    <w:rsid w:val="00683BA9"/>
    <w:rsid w:val="00684000"/>
    <w:rsid w:val="00684B85"/>
    <w:rsid w:val="0068783F"/>
    <w:rsid w:val="00696E85"/>
    <w:rsid w:val="006A18C5"/>
    <w:rsid w:val="006D09A7"/>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474C"/>
    <w:rsid w:val="0073754C"/>
    <w:rsid w:val="0074716F"/>
    <w:rsid w:val="0074737F"/>
    <w:rsid w:val="00751E72"/>
    <w:rsid w:val="00753673"/>
    <w:rsid w:val="007540BD"/>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E0C49"/>
    <w:rsid w:val="007E1CD7"/>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0B6C"/>
    <w:rsid w:val="00923722"/>
    <w:rsid w:val="0092514B"/>
    <w:rsid w:val="009264AA"/>
    <w:rsid w:val="009365DB"/>
    <w:rsid w:val="00944EE8"/>
    <w:rsid w:val="009461F0"/>
    <w:rsid w:val="00946EE3"/>
    <w:rsid w:val="00953410"/>
    <w:rsid w:val="009547B4"/>
    <w:rsid w:val="009601F5"/>
    <w:rsid w:val="00963E43"/>
    <w:rsid w:val="00970F21"/>
    <w:rsid w:val="00975F3B"/>
    <w:rsid w:val="0098382A"/>
    <w:rsid w:val="009943CD"/>
    <w:rsid w:val="00994809"/>
    <w:rsid w:val="00994E91"/>
    <w:rsid w:val="009C37F8"/>
    <w:rsid w:val="009C3979"/>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975FD"/>
    <w:rsid w:val="00AA4437"/>
    <w:rsid w:val="00AB363A"/>
    <w:rsid w:val="00AC35D6"/>
    <w:rsid w:val="00AD678B"/>
    <w:rsid w:val="00AE41A1"/>
    <w:rsid w:val="00AE5A17"/>
    <w:rsid w:val="00AF5AF6"/>
    <w:rsid w:val="00B03FD7"/>
    <w:rsid w:val="00B04B70"/>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27DA"/>
    <w:rsid w:val="00BB40C8"/>
    <w:rsid w:val="00BB6985"/>
    <w:rsid w:val="00BC31CE"/>
    <w:rsid w:val="00BC56EA"/>
    <w:rsid w:val="00BC6602"/>
    <w:rsid w:val="00BD787B"/>
    <w:rsid w:val="00BE0CE4"/>
    <w:rsid w:val="00BE7D68"/>
    <w:rsid w:val="00BF101A"/>
    <w:rsid w:val="00BF4FF9"/>
    <w:rsid w:val="00C02650"/>
    <w:rsid w:val="00C03ED1"/>
    <w:rsid w:val="00C064BC"/>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1861"/>
    <w:rsid w:val="00CD31FE"/>
    <w:rsid w:val="00CD4F1D"/>
    <w:rsid w:val="00CE148C"/>
    <w:rsid w:val="00CE1EC6"/>
    <w:rsid w:val="00CE5201"/>
    <w:rsid w:val="00CF1627"/>
    <w:rsid w:val="00CF5EFE"/>
    <w:rsid w:val="00CF760D"/>
    <w:rsid w:val="00D008ED"/>
    <w:rsid w:val="00D01984"/>
    <w:rsid w:val="00D01EDA"/>
    <w:rsid w:val="00D16472"/>
    <w:rsid w:val="00D20D91"/>
    <w:rsid w:val="00D321C9"/>
    <w:rsid w:val="00D33ED1"/>
    <w:rsid w:val="00D353A2"/>
    <w:rsid w:val="00D37FC2"/>
    <w:rsid w:val="00D43DB0"/>
    <w:rsid w:val="00D52B1F"/>
    <w:rsid w:val="00D570C5"/>
    <w:rsid w:val="00D65E69"/>
    <w:rsid w:val="00D90A93"/>
    <w:rsid w:val="00D922CF"/>
    <w:rsid w:val="00D92335"/>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55C1B"/>
    <w:rsid w:val="00E62BEE"/>
    <w:rsid w:val="00E63075"/>
    <w:rsid w:val="00E644BF"/>
    <w:rsid w:val="00E73A40"/>
    <w:rsid w:val="00E806E3"/>
    <w:rsid w:val="00E81697"/>
    <w:rsid w:val="00E84119"/>
    <w:rsid w:val="00E87D86"/>
    <w:rsid w:val="00E928D4"/>
    <w:rsid w:val="00E94852"/>
    <w:rsid w:val="00EA049A"/>
    <w:rsid w:val="00EA4D25"/>
    <w:rsid w:val="00EA576F"/>
    <w:rsid w:val="00EB0255"/>
    <w:rsid w:val="00EB3838"/>
    <w:rsid w:val="00EB4C77"/>
    <w:rsid w:val="00EB68CC"/>
    <w:rsid w:val="00EC1285"/>
    <w:rsid w:val="00EC2095"/>
    <w:rsid w:val="00EC5E51"/>
    <w:rsid w:val="00EC76B0"/>
    <w:rsid w:val="00ED48AE"/>
    <w:rsid w:val="00EE0137"/>
    <w:rsid w:val="00EE5FEF"/>
    <w:rsid w:val="00EE65A7"/>
    <w:rsid w:val="00EF48EC"/>
    <w:rsid w:val="00EF58B4"/>
    <w:rsid w:val="00EF6016"/>
    <w:rsid w:val="00F03131"/>
    <w:rsid w:val="00F05E03"/>
    <w:rsid w:val="00F101A4"/>
    <w:rsid w:val="00F2061A"/>
    <w:rsid w:val="00F30057"/>
    <w:rsid w:val="00F34750"/>
    <w:rsid w:val="00F35DBF"/>
    <w:rsid w:val="00F46114"/>
    <w:rsid w:val="00F463F3"/>
    <w:rsid w:val="00F47B3A"/>
    <w:rsid w:val="00F602C8"/>
    <w:rsid w:val="00F62595"/>
    <w:rsid w:val="00F7168A"/>
    <w:rsid w:val="00F71C13"/>
    <w:rsid w:val="00F77228"/>
    <w:rsid w:val="00F90567"/>
    <w:rsid w:val="00F91352"/>
    <w:rsid w:val="00F9173F"/>
    <w:rsid w:val="00F922ED"/>
    <w:rsid w:val="00FB0183"/>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5CFB8"/>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link w:val="Overskrift1Tegn"/>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link w:val="FodnotetekstTegn"/>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Ledetekst">
    <w:name w:val="Ledetekst"/>
    <w:basedOn w:val="Normal"/>
    <w:uiPriority w:val="3"/>
    <w:rsid w:val="001A43C2"/>
    <w:pPr>
      <w:spacing w:before="40" w:after="40"/>
      <w:ind w:left="397" w:right="57" w:hanging="340"/>
    </w:p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 w:type="character" w:customStyle="1" w:styleId="Overskrift1Tegn">
    <w:name w:val="Overskrift 1 Tegn"/>
    <w:basedOn w:val="Standardskrifttypeiafsnit"/>
    <w:link w:val="Overskrift1"/>
    <w:uiPriority w:val="1"/>
    <w:rsid w:val="00302002"/>
    <w:rPr>
      <w:rFonts w:cs="Arial"/>
      <w:b/>
      <w:bCs/>
      <w:sz w:val="22"/>
      <w:szCs w:val="32"/>
    </w:rPr>
  </w:style>
  <w:style w:type="character" w:customStyle="1" w:styleId="FodnotetekstTegn">
    <w:name w:val="Fodnotetekst Tegn"/>
    <w:basedOn w:val="Standardskrifttypeiafsnit"/>
    <w:link w:val="Fodnotetekst"/>
    <w:uiPriority w:val="9"/>
    <w:semiHidden/>
    <w:rsid w:val="00302002"/>
    <w:rPr>
      <w:sz w:val="18"/>
    </w:rPr>
  </w:style>
  <w:style w:type="table" w:styleId="Tabelgitter-lys">
    <w:name w:val="Grid Table Light"/>
    <w:basedOn w:val="Tabel-Normal"/>
    <w:uiPriority w:val="40"/>
    <w:rsid w:val="0030200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t.dk/media/1qzk3wmv/orientering-om-aendring-af-praksis-for-overvejelse-af-stoejvilkaar.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2.mst.dk/Udgiv/publikationer/2017/12/PE-beregninger_af_cylindrisk_lydudbredelse.pdf" TargetMode="External"/><Relationship Id="rId2" Type="http://schemas.openxmlformats.org/officeDocument/2006/relationships/hyperlink" Target="https://www.retsinformation.dk/eli/lta/2024/995" TargetMode="External"/><Relationship Id="rId1" Type="http://schemas.openxmlformats.org/officeDocument/2006/relationships/hyperlink" Target="https://referencelaboratoriet.dk/wp-content/uploads/2024_Hyppighed_for_multiple_refleksioner_omkring_de_danske_kyster_-TC-1022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858</Words>
  <Characters>5239</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Louise Bek Vegeberg</cp:lastModifiedBy>
  <cp:revision>24</cp:revision>
  <cp:lastPrinted>2005-05-20T12:11:00Z</cp:lastPrinted>
  <dcterms:created xsi:type="dcterms:W3CDTF">2021-07-07T06:52:00Z</dcterms:created>
  <dcterms:modified xsi:type="dcterms:W3CDTF">2025-02-25T08:57:00Z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