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B7D4" w14:textId="4F7475E5" w:rsidR="00584414" w:rsidRPr="00F80D3D" w:rsidRDefault="000F010A" w:rsidP="00584414">
      <w:pPr>
        <w:tabs>
          <w:tab w:val="left" w:pos="720"/>
        </w:tabs>
        <w:jc w:val="center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Afsluttende s</w:t>
      </w:r>
      <w:r w:rsidR="00B64DFD">
        <w:rPr>
          <w:b/>
          <w:sz w:val="22"/>
          <w:szCs w:val="22"/>
          <w:lang w:val="da-DK"/>
        </w:rPr>
        <w:t xml:space="preserve">tatusnotat </w:t>
      </w:r>
      <w:r w:rsidR="004D1482">
        <w:rPr>
          <w:b/>
          <w:sz w:val="22"/>
          <w:szCs w:val="22"/>
          <w:lang w:val="da-DK"/>
        </w:rPr>
        <w:t xml:space="preserve">for </w:t>
      </w:r>
      <w:r w:rsidR="00B615A4">
        <w:rPr>
          <w:b/>
          <w:sz w:val="22"/>
          <w:szCs w:val="22"/>
          <w:lang w:val="da-DK"/>
        </w:rPr>
        <w:t>partnerskabs-</w:t>
      </w:r>
      <w:r w:rsidR="004D1482">
        <w:rPr>
          <w:b/>
          <w:sz w:val="22"/>
          <w:szCs w:val="22"/>
          <w:lang w:val="da-DK"/>
        </w:rPr>
        <w:t xml:space="preserve">projekt gennemført i </w:t>
      </w:r>
      <w:r w:rsidR="00053D8F">
        <w:rPr>
          <w:b/>
          <w:sz w:val="22"/>
          <w:szCs w:val="22"/>
          <w:lang w:val="da-DK"/>
        </w:rPr>
        <w:t>201</w:t>
      </w:r>
      <w:r w:rsidR="004D1482">
        <w:rPr>
          <w:b/>
          <w:sz w:val="22"/>
          <w:szCs w:val="22"/>
          <w:lang w:val="da-DK"/>
        </w:rPr>
        <w:t>9</w:t>
      </w:r>
    </w:p>
    <w:p w14:paraId="2BB42C83" w14:textId="77777777" w:rsidR="00584414" w:rsidRPr="00F80D3D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84414" w14:paraId="68160272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3A1C7807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Titel på projektet</w:t>
            </w:r>
          </w:p>
        </w:tc>
        <w:tc>
          <w:tcPr>
            <w:tcW w:w="6095" w:type="dxa"/>
          </w:tcPr>
          <w:p w14:paraId="71358798" w14:textId="77777777" w:rsidR="00584414" w:rsidRPr="000C1379" w:rsidRDefault="00CB3031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 w:rsidRPr="00CB3031">
              <w:rPr>
                <w:rFonts w:cs="Arial"/>
                <w:b/>
                <w:sz w:val="22"/>
                <w:szCs w:val="22"/>
                <w:lang w:val="da-DK"/>
              </w:rPr>
              <w:t>Gradueret vækstregulering i vinterhvede</w:t>
            </w:r>
          </w:p>
          <w:p w14:paraId="2D9FD75E" w14:textId="77777777" w:rsidR="00584414" w:rsidRPr="000C1379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B64DFD" w14:paraId="09BC636E" w14:textId="77777777" w:rsidTr="00B64DF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8AC54" w14:textId="77777777" w:rsidR="00B64DFD" w:rsidRDefault="00B64DFD" w:rsidP="00B64DF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Projektleder (navn og org.)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A7CEFB" w14:textId="77777777" w:rsidR="00B64DFD" w:rsidRDefault="00CB3031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Lotte Buch</w:t>
            </w:r>
          </w:p>
        </w:tc>
      </w:tr>
      <w:tr w:rsidR="00584414" w:rsidRPr="000F010A" w14:paraId="411B1958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F2A30" w14:textId="77777777" w:rsidR="00584414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Dato for statusnotat: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14221E4" w14:textId="77777777" w:rsidR="003F139C" w:rsidRDefault="003F139C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9750B" w:rsidRPr="000F010A" w14:paraId="2B25DC04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A825ED" w14:textId="77777777" w:rsidR="0049750B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Projektet gennemført i perioden: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C3D096" w14:textId="77777777" w:rsidR="0049750B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584414" w14:paraId="084552C2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667650E7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Projektnummer: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40AAABF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MST-Journal nr.:</w:t>
            </w:r>
            <w:r w:rsidR="00CB3031">
              <w:rPr>
                <w:rFonts w:cs="Arial"/>
                <w:b/>
                <w:sz w:val="22"/>
                <w:szCs w:val="22"/>
                <w:lang w:val="da-DK"/>
              </w:rPr>
              <w:t xml:space="preserve"> MST-666-00131</w:t>
            </w:r>
          </w:p>
        </w:tc>
      </w:tr>
    </w:tbl>
    <w:p w14:paraId="66848922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 w:rsidRPr="0022408F">
        <w:rPr>
          <w:rFonts w:cs="Arial"/>
          <w:b/>
          <w:sz w:val="22"/>
          <w:szCs w:val="22"/>
          <w:lang w:val="da-DK"/>
        </w:rPr>
        <w:t xml:space="preserve"> </w:t>
      </w:r>
    </w:p>
    <w:p w14:paraId="058DC116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4414" w:rsidRPr="00235377" w14:paraId="25CC7253" w14:textId="77777777" w:rsidTr="00584414">
        <w:tc>
          <w:tcPr>
            <w:tcW w:w="9180" w:type="dxa"/>
            <w:shd w:val="clear" w:color="auto" w:fill="A6A6A6" w:themeFill="background1" w:themeFillShade="A6"/>
          </w:tcPr>
          <w:p w14:paraId="2A351367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A: BESKRIV</w:t>
            </w:r>
            <w:r w:rsidR="00D4235D">
              <w:rPr>
                <w:rFonts w:cs="Arial"/>
                <w:b/>
                <w:sz w:val="22"/>
                <w:szCs w:val="22"/>
                <w:lang w:val="da-DK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 xml:space="preserve">LSE AF </w:t>
            </w:r>
            <w:r w:rsidR="00B64DFD">
              <w:rPr>
                <w:rFonts w:cs="Arial"/>
                <w:b/>
                <w:sz w:val="22"/>
                <w:szCs w:val="22"/>
                <w:lang w:val="da-DK"/>
              </w:rPr>
              <w:t>DET GENNEMFØRTE PROJEKT</w:t>
            </w:r>
          </w:p>
          <w:p w14:paraId="513628EA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584414" w:rsidRPr="00235377" w14:paraId="5D1F0904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2F4AA169" w14:textId="77777777"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Formål med projektet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– hvad ønskede I at opnå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med projektet </w:t>
            </w:r>
          </w:p>
        </w:tc>
      </w:tr>
      <w:tr w:rsidR="00584414" w:rsidRPr="00235377" w14:paraId="33464E5B" w14:textId="77777777" w:rsidTr="00584414">
        <w:tc>
          <w:tcPr>
            <w:tcW w:w="9180" w:type="dxa"/>
          </w:tcPr>
          <w:p w14:paraId="0AA9D06C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1C2E3E0B" w14:textId="51EA6371" w:rsidR="009A3DB3" w:rsidRDefault="009A3DB3" w:rsidP="009A3DB3">
            <w:pPr>
              <w:keepNext/>
              <w:rPr>
                <w:rFonts w:cs="Arial"/>
                <w:sz w:val="22"/>
                <w:lang w:val="da-DK"/>
              </w:rPr>
            </w:pPr>
            <w:r>
              <w:rPr>
                <w:rFonts w:cs="Arial"/>
                <w:sz w:val="22"/>
                <w:lang w:val="da-DK"/>
              </w:rPr>
              <w:t xml:space="preserve">Formålet med projektet er at demonstrere brugen af gradueret vækstregulering af vinterhvede ved at tilpasse doseringen efter afgrødens biomasse i de enkelte områder af marken. </w:t>
            </w:r>
          </w:p>
          <w:p w14:paraId="2DABCF8E" w14:textId="77777777" w:rsidR="0049750B" w:rsidRPr="00642EBD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235377" w14:paraId="3E6CCE50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2B38D5BF" w14:textId="77777777" w:rsidR="00584414" w:rsidRPr="000F010A" w:rsidRDefault="006908B6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Kort beskrivelse af det gennemførte projekt og aktiviteter </w:t>
            </w:r>
          </w:p>
        </w:tc>
      </w:tr>
      <w:tr w:rsidR="00584414" w:rsidRPr="00235377" w14:paraId="195FCA20" w14:textId="77777777" w:rsidTr="00584414">
        <w:tc>
          <w:tcPr>
            <w:tcW w:w="9180" w:type="dxa"/>
          </w:tcPr>
          <w:p w14:paraId="2E3BC2A0" w14:textId="77777777" w:rsidR="00D94D79" w:rsidRDefault="00D94D79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F33A94D" w14:textId="7A3B373D" w:rsidR="00584414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Der blev udført et Onfarm</w:t>
            </w:r>
            <w:r w:rsidRPr="009A3DB3">
              <w:rPr>
                <w:rFonts w:cs="Arial"/>
                <w:sz w:val="22"/>
                <w:szCs w:val="22"/>
                <w:vertAlign w:val="superscript"/>
                <w:lang w:val="da-DK"/>
              </w:rPr>
              <w:t>PLUS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forsøg i vinterhvede med 4 led, hvor ét led blev vækstreguleret ud fra gradueret tildeling. De øvrige 3 led var fast dosis </w:t>
            </w:r>
            <w:r w:rsidR="00A23CCC">
              <w:rPr>
                <w:rFonts w:cs="Arial"/>
                <w:sz w:val="22"/>
                <w:szCs w:val="22"/>
                <w:lang w:val="da-DK"/>
              </w:rPr>
              <w:t>med hhv.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 w:rsidR="00A23CCC">
              <w:rPr>
                <w:rFonts w:cs="Arial"/>
                <w:sz w:val="22"/>
                <w:szCs w:val="22"/>
                <w:lang w:val="da-DK"/>
              </w:rPr>
              <w:t>+/- 25% dosering og standard dosis</w:t>
            </w:r>
            <w:r>
              <w:rPr>
                <w:rFonts w:cs="Arial"/>
                <w:sz w:val="22"/>
                <w:szCs w:val="22"/>
                <w:lang w:val="da-DK"/>
              </w:rPr>
              <w:t>. I forsøget blev der registre</w:t>
            </w:r>
            <w:r w:rsidR="009A3DB3">
              <w:rPr>
                <w:rFonts w:cs="Arial"/>
                <w:sz w:val="22"/>
                <w:szCs w:val="22"/>
                <w:lang w:val="da-DK"/>
              </w:rPr>
              <w:t>re</w:t>
            </w:r>
            <w:r>
              <w:rPr>
                <w:rFonts w:cs="Arial"/>
                <w:sz w:val="22"/>
                <w:szCs w:val="22"/>
                <w:lang w:val="da-DK"/>
              </w:rPr>
              <w:t>t lejesæd i georeferede punkter med 10 meters afstand</w:t>
            </w:r>
            <w:r w:rsidR="00D94D79">
              <w:rPr>
                <w:rFonts w:cs="Arial"/>
                <w:sz w:val="22"/>
                <w:szCs w:val="22"/>
                <w:lang w:val="da-DK"/>
              </w:rPr>
              <w:t>.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 w:rsidR="00D94D79">
              <w:rPr>
                <w:rFonts w:cs="Arial"/>
                <w:sz w:val="22"/>
                <w:szCs w:val="22"/>
                <w:lang w:val="da-DK"/>
              </w:rPr>
              <w:t>F</w:t>
            </w:r>
            <w:r>
              <w:rPr>
                <w:rFonts w:cs="Arial"/>
                <w:sz w:val="22"/>
                <w:szCs w:val="22"/>
                <w:lang w:val="da-DK"/>
              </w:rPr>
              <w:t>orsøget blev høstet med en flowmejetærsker</w:t>
            </w:r>
            <w:r w:rsidR="00D94D79">
              <w:rPr>
                <w:rFonts w:cs="Arial"/>
                <w:sz w:val="22"/>
                <w:szCs w:val="22"/>
                <w:lang w:val="da-DK"/>
              </w:rPr>
              <w:t>,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der løbende måle</w:t>
            </w:r>
            <w:r w:rsidR="00D94D79">
              <w:rPr>
                <w:rFonts w:cs="Arial"/>
                <w:sz w:val="22"/>
                <w:szCs w:val="22"/>
                <w:lang w:val="da-DK"/>
              </w:rPr>
              <w:t>r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udbyttet.</w:t>
            </w:r>
          </w:p>
          <w:p w14:paraId="1CAC4478" w14:textId="3FE5D8B2" w:rsidR="00D030CD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Tildelingsfilen til det graduerede led blev dannet ud fra biomassen (NDVI) målt med drone lige inden vækstregulering den 30. april.</w:t>
            </w:r>
          </w:p>
          <w:p w14:paraId="2D1998A5" w14:textId="7ECD51D8" w:rsidR="00D030CD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I forbindelse med forsøget blev der optaget en video omkring forsøget, der blev postet på Facebook og LinkedIn.</w:t>
            </w:r>
          </w:p>
          <w:p w14:paraId="2232FEA5" w14:textId="77777777" w:rsidR="00455CC5" w:rsidRPr="00642EBD" w:rsidRDefault="00455CC5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235377" w14:paraId="629ABFC1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0AD9DA5C" w14:textId="77777777" w:rsidR="00584414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Blev m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ålgruppe 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inddraget/informeret og hvordan 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(fx jordbrugere, konsulenter, greenkeepere …) </w:t>
            </w:r>
          </w:p>
        </w:tc>
      </w:tr>
      <w:tr w:rsidR="00584414" w:rsidRPr="00235377" w14:paraId="1018EC80" w14:textId="77777777" w:rsidTr="00584414">
        <w:tc>
          <w:tcPr>
            <w:tcW w:w="9180" w:type="dxa"/>
          </w:tcPr>
          <w:p w14:paraId="6642761D" w14:textId="77777777" w:rsidR="00D94D79" w:rsidRDefault="00D94D79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5BB4220" w14:textId="35D503FD" w:rsidR="00584414" w:rsidRDefault="009A3DB3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Under selve forsøget blev landmænd/konsulenter ikke inddraget. Vi anvendte egen sprøjte til at udføre vækstreguleringen.</w:t>
            </w:r>
            <w:r w:rsidR="00A23CCC">
              <w:rPr>
                <w:rFonts w:cs="Arial"/>
                <w:sz w:val="22"/>
                <w:szCs w:val="22"/>
                <w:lang w:val="da-DK"/>
              </w:rPr>
              <w:t xml:space="preserve"> Resultaterne bliver afrapporteret i Oversigten og vil blive fremlagt på indlæg og via artikel på landbrugsinfo</w:t>
            </w:r>
          </w:p>
          <w:p w14:paraId="5BE4BEDC" w14:textId="77777777" w:rsidR="0049750B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717AD3B6" w14:textId="77777777" w:rsidR="00455CC5" w:rsidRPr="00642EBD" w:rsidRDefault="00455CC5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235377" w14:paraId="4DC3DF75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273595E3" w14:textId="77777777"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Projektets leverance(r) (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angiv </w:t>
            </w:r>
            <w:r w:rsidRPr="000F010A">
              <w:rPr>
                <w:rFonts w:cs="Arial"/>
                <w:b/>
                <w:sz w:val="22"/>
                <w:szCs w:val="22"/>
              </w:rPr>
              <w:t>fx rapport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afholdte </w:t>
            </w:r>
            <w:r w:rsidRPr="000F010A">
              <w:rPr>
                <w:rFonts w:cs="Arial"/>
                <w:b/>
                <w:sz w:val="22"/>
                <w:szCs w:val="22"/>
              </w:rPr>
              <w:t>demonstrationsarrangement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>,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mv.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)  </w:t>
            </w:r>
          </w:p>
        </w:tc>
      </w:tr>
      <w:tr w:rsidR="00584414" w:rsidRPr="00D030CD" w14:paraId="58CA938E" w14:textId="77777777" w:rsidTr="00584414">
        <w:tc>
          <w:tcPr>
            <w:tcW w:w="9180" w:type="dxa"/>
          </w:tcPr>
          <w:p w14:paraId="67E42D10" w14:textId="77777777" w:rsidR="00D94D79" w:rsidRDefault="00D94D79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E607BF8" w14:textId="1EBA3085" w:rsidR="00584414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Video</w:t>
            </w:r>
            <w:r w:rsidR="009A3DB3">
              <w:rPr>
                <w:rFonts w:cs="Arial"/>
                <w:sz w:val="22"/>
                <w:szCs w:val="22"/>
                <w:lang w:val="da-DK"/>
              </w:rPr>
              <w:t xml:space="preserve"> - G</w:t>
            </w:r>
            <w:r>
              <w:rPr>
                <w:rFonts w:cs="Arial"/>
                <w:sz w:val="22"/>
                <w:szCs w:val="22"/>
                <w:lang w:val="da-DK"/>
              </w:rPr>
              <w:t>radueret vækstregulering i vinterhvede</w:t>
            </w:r>
          </w:p>
          <w:p w14:paraId="0680CB97" w14:textId="7C565892" w:rsidR="0049750B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Statistisk rapport</w:t>
            </w:r>
          </w:p>
          <w:p w14:paraId="1790D6B2" w14:textId="53A85C75" w:rsidR="00D030CD" w:rsidRDefault="00D030CD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Faglig artikel på landbrugsinf</w:t>
            </w:r>
            <w:r w:rsidR="00D94D79">
              <w:rPr>
                <w:rFonts w:cs="Arial"/>
                <w:sz w:val="22"/>
                <w:szCs w:val="22"/>
                <w:lang w:val="da-DK"/>
              </w:rPr>
              <w:t>o</w:t>
            </w:r>
          </w:p>
          <w:p w14:paraId="160F01F3" w14:textId="77777777" w:rsidR="00584414" w:rsidRPr="00256528" w:rsidRDefault="00584414" w:rsidP="009A3DB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235377" w14:paraId="79795537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6E8B84FA" w14:textId="77777777" w:rsidR="00584414" w:rsidRPr="000F010A" w:rsidRDefault="00B64DFD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Hvordan blev projektet/resultater </w:t>
            </w:r>
            <w:r w:rsidR="00584414" w:rsidRPr="000F010A">
              <w:rPr>
                <w:rFonts w:cs="Arial"/>
                <w:b/>
                <w:sz w:val="22"/>
                <w:szCs w:val="22"/>
              </w:rPr>
              <w:t>formidl</w:t>
            </w:r>
            <w:r w:rsidRPr="000F010A">
              <w:rPr>
                <w:rFonts w:cs="Arial"/>
                <w:b/>
                <w:sz w:val="22"/>
                <w:szCs w:val="22"/>
              </w:rPr>
              <w:t>et?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 (hvis relevant kan henvises til ovenstående punkt)</w:t>
            </w:r>
          </w:p>
        </w:tc>
      </w:tr>
      <w:tr w:rsidR="00584414" w:rsidRPr="00D94D79" w14:paraId="7FB5B241" w14:textId="77777777" w:rsidTr="00584414">
        <w:tc>
          <w:tcPr>
            <w:tcW w:w="9180" w:type="dxa"/>
          </w:tcPr>
          <w:p w14:paraId="529CF476" w14:textId="77777777" w:rsidR="00D94D79" w:rsidRDefault="00D94D79" w:rsidP="009A3DB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3758F3D7" w14:textId="77777777" w:rsidR="00D94D79" w:rsidRDefault="009A3DB3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Ovenfor nævnte </w:t>
            </w:r>
            <w:r w:rsidR="00D94D79">
              <w:rPr>
                <w:rFonts w:cs="Arial"/>
                <w:sz w:val="22"/>
                <w:szCs w:val="22"/>
                <w:lang w:val="da-DK"/>
              </w:rPr>
              <w:t xml:space="preserve">(punkt 4) </w:t>
            </w:r>
            <w:r>
              <w:rPr>
                <w:rFonts w:cs="Arial"/>
                <w:sz w:val="22"/>
                <w:szCs w:val="22"/>
                <w:lang w:val="da-DK"/>
              </w:rPr>
              <w:t>og indlæg på seminar om præcisionsjordbrug i praksis på Flakkebjerg den 21. november.</w:t>
            </w:r>
            <w:r w:rsidR="00D94D79">
              <w:rPr>
                <w:rFonts w:cs="Arial"/>
                <w:sz w:val="22"/>
                <w:szCs w:val="22"/>
                <w:lang w:val="da-DK"/>
              </w:rPr>
              <w:t xml:space="preserve"> </w:t>
            </w:r>
          </w:p>
          <w:p w14:paraId="3EC71C7C" w14:textId="6F0D2A1C" w:rsidR="00584414" w:rsidRDefault="00D94D79" w:rsidP="0049750B">
            <w:pPr>
              <w:tabs>
                <w:tab w:val="left" w:pos="720"/>
              </w:tabs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Webside: </w:t>
            </w:r>
            <w:r w:rsidR="00186BB3" w:rsidRPr="00186BB3">
              <w:rPr>
                <w:rFonts w:cs="Arial"/>
                <w:lang w:val="da-DK"/>
              </w:rPr>
              <w:t>Partnerskab om præcisionssprøjtning</w:t>
            </w:r>
            <w:r>
              <w:rPr>
                <w:rFonts w:cs="Arial"/>
                <w:lang w:val="da-DK"/>
              </w:rPr>
              <w:t>.</w:t>
            </w:r>
          </w:p>
          <w:p w14:paraId="4F5EB795" w14:textId="77777777" w:rsidR="00584414" w:rsidRPr="00256528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0F010A" w:rsidRPr="00235377" w14:paraId="0C589A30" w14:textId="77777777" w:rsidTr="000F010A">
        <w:tc>
          <w:tcPr>
            <w:tcW w:w="9180" w:type="dxa"/>
            <w:shd w:val="clear" w:color="auto" w:fill="D9D9D9" w:themeFill="background1" w:themeFillShade="D9"/>
          </w:tcPr>
          <w:p w14:paraId="788473BA" w14:textId="77777777" w:rsidR="000F010A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lastRenderedPageBreak/>
              <w:t>Hvordan vurderes projektet at have bidraget til øget viden om/brug af præcisionsteknologi og -sprøjtning og evt. bidrage til reduktion i pesticidforbruget</w:t>
            </w:r>
          </w:p>
        </w:tc>
      </w:tr>
      <w:tr w:rsidR="000F010A" w:rsidRPr="00235377" w14:paraId="554D1A8F" w14:textId="77777777" w:rsidTr="00584414">
        <w:tc>
          <w:tcPr>
            <w:tcW w:w="9180" w:type="dxa"/>
          </w:tcPr>
          <w:p w14:paraId="3E1FE167" w14:textId="77777777" w:rsidR="000F010A" w:rsidRDefault="000F010A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8170E92" w14:textId="515D2329" w:rsidR="000F010A" w:rsidRDefault="00D94D79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Projektet har vist, at ud fra NDVI-målinger (biomasse) registreret umiddelbart inden vækstregulering</w:t>
            </w:r>
            <w:r w:rsidR="003C3D12">
              <w:rPr>
                <w:rFonts w:cs="Arial"/>
                <w:sz w:val="22"/>
                <w:szCs w:val="22"/>
                <w:lang w:val="da-DK"/>
              </w:rPr>
              <w:t>,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kan der generes en tildelingsfil, således at der </w:t>
            </w:r>
            <w:r w:rsidR="003C3D12">
              <w:rPr>
                <w:rFonts w:cs="Arial"/>
                <w:sz w:val="22"/>
                <w:szCs w:val="22"/>
                <w:lang w:val="da-DK"/>
              </w:rPr>
              <w:t xml:space="preserve">kan </w:t>
            </w:r>
            <w:r>
              <w:rPr>
                <w:rFonts w:cs="Arial"/>
                <w:sz w:val="22"/>
                <w:szCs w:val="22"/>
                <w:lang w:val="da-DK"/>
              </w:rPr>
              <w:t>gradueres efter biomasse.</w:t>
            </w:r>
          </w:p>
          <w:p w14:paraId="6D4096F5" w14:textId="4806DD12" w:rsidR="003C3D12" w:rsidRDefault="003C3D12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Der er tilført samme totale mængde vækstreguleringsmiddel i gradueret og ensartet tildelt led, og der er med statistisk sikkerhed vist at graduering nedsætter graden af lejesæd på arealet. </w:t>
            </w:r>
          </w:p>
          <w:p w14:paraId="6AF0779A" w14:textId="11956BF9" w:rsidR="00D94D79" w:rsidRDefault="00A23CCC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Vi har desuden via forsøgets resultater fået mere viden til udformning af tildelingsfunktion efter biomasse.</w:t>
            </w:r>
          </w:p>
          <w:p w14:paraId="4B9DA13E" w14:textId="77777777" w:rsidR="00A23CCC" w:rsidRDefault="00A23CCC" w:rsidP="00A23CCC">
            <w:pPr>
              <w:spacing w:line="276" w:lineRule="auto"/>
              <w:rPr>
                <w:szCs w:val="19"/>
                <w:lang w:val="da-DK"/>
              </w:rPr>
            </w:pPr>
          </w:p>
          <w:p w14:paraId="24F5025C" w14:textId="47420A9A" w:rsidR="00A23CCC" w:rsidRPr="00A23CCC" w:rsidRDefault="00A23CCC" w:rsidP="00A23CCC">
            <w:pPr>
              <w:spacing w:line="276" w:lineRule="auto"/>
              <w:rPr>
                <w:sz w:val="22"/>
                <w:szCs w:val="22"/>
                <w:lang w:val="da-DK"/>
              </w:rPr>
            </w:pPr>
            <w:r w:rsidRPr="00A23CCC">
              <w:rPr>
                <w:sz w:val="22"/>
                <w:szCs w:val="22"/>
                <w:lang w:val="da-DK"/>
              </w:rPr>
              <w:t>Der er brug for opfølgende forsøg til at undersøge:</w:t>
            </w:r>
          </w:p>
          <w:p w14:paraId="4CB2E419" w14:textId="50A5FA10" w:rsidR="00A23CCC" w:rsidRPr="00A23CCC" w:rsidRDefault="00A23CCC" w:rsidP="00A23CCC">
            <w:pPr>
              <w:pStyle w:val="Listeafsnit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23CCC">
              <w:rPr>
                <w:rFonts w:ascii="Arial" w:hAnsi="Arial" w:cs="Arial"/>
                <w:sz w:val="22"/>
                <w:szCs w:val="22"/>
              </w:rPr>
              <w:t>Hvilken tildelingsfunktion er optimal?</w:t>
            </w:r>
          </w:p>
          <w:p w14:paraId="05E56249" w14:textId="77777777" w:rsidR="00A23CCC" w:rsidRPr="00A23CCC" w:rsidRDefault="00A23CCC" w:rsidP="00A23CCC">
            <w:pPr>
              <w:pStyle w:val="Listeafsnit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23CCC">
              <w:rPr>
                <w:rFonts w:ascii="Arial" w:hAnsi="Arial" w:cs="Arial"/>
                <w:sz w:val="22"/>
                <w:szCs w:val="22"/>
              </w:rPr>
              <w:t>Er der øvre og nedre NDVI-niveauer, hvor en vækstregulering ikke kan betale sig?</w:t>
            </w:r>
          </w:p>
          <w:p w14:paraId="4BF83DC5" w14:textId="77777777" w:rsidR="00A23CCC" w:rsidRPr="00A23CCC" w:rsidRDefault="00A23CCC" w:rsidP="00A23CCC">
            <w:pPr>
              <w:pStyle w:val="Listeafsnit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23CCC">
              <w:rPr>
                <w:rFonts w:ascii="Arial" w:hAnsi="Arial" w:cs="Arial"/>
                <w:sz w:val="22"/>
                <w:szCs w:val="22"/>
              </w:rPr>
              <w:t>Kan resultater fra et forsøg/lokalitet overføres til et andet forsøg/lokalitet?</w:t>
            </w:r>
          </w:p>
          <w:p w14:paraId="0D6691B3" w14:textId="77777777" w:rsidR="00A23CCC" w:rsidRPr="00A23CCC" w:rsidRDefault="00A23CCC" w:rsidP="00A23CCC">
            <w:pPr>
              <w:pStyle w:val="Listeafsnit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23CCC">
              <w:rPr>
                <w:rFonts w:ascii="Arial" w:hAnsi="Arial" w:cs="Arial"/>
                <w:sz w:val="22"/>
                <w:szCs w:val="22"/>
              </w:rPr>
              <w:t xml:space="preserve">Kan gradueret vækstregulering bruges til at mindske den samlede mængde anvendt vækstreguleringsmiddel?  </w:t>
            </w:r>
          </w:p>
          <w:p w14:paraId="5796F54B" w14:textId="77777777" w:rsidR="0049750B" w:rsidRPr="00256528" w:rsidRDefault="0049750B" w:rsidP="00A23CCC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</w:tbl>
    <w:p w14:paraId="0A00B166" w14:textId="77777777" w:rsidR="00B64DFD" w:rsidRDefault="00B64DFD" w:rsidP="00053D8F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p w14:paraId="0ED5DD35" w14:textId="244B4151" w:rsidR="00584414" w:rsidRDefault="0049750B" w:rsidP="00235377">
      <w:pPr>
        <w:spacing w:line="260" w:lineRule="atLeast"/>
        <w:rPr>
          <w:rFonts w:cs="Arial"/>
          <w:b/>
          <w:sz w:val="22"/>
          <w:szCs w:val="22"/>
          <w:lang w:val="da-DK"/>
        </w:rPr>
      </w:pPr>
      <w:r>
        <w:rPr>
          <w:rFonts w:cs="Arial"/>
          <w:b/>
          <w:sz w:val="22"/>
          <w:szCs w:val="22"/>
          <w:lang w:val="da-DK"/>
        </w:rPr>
        <w:br w:type="page"/>
      </w:r>
      <w:bookmarkStart w:id="0" w:name="_GoBack"/>
      <w:bookmarkEnd w:id="0"/>
    </w:p>
    <w:p w14:paraId="3D93E9AF" w14:textId="77777777" w:rsidR="00584414" w:rsidRDefault="00584414" w:rsidP="00584414">
      <w:pPr>
        <w:keepNext/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>
        <w:rPr>
          <w:rFonts w:cs="Arial"/>
          <w:b/>
          <w:sz w:val="22"/>
          <w:szCs w:val="22"/>
          <w:lang w:val="da-DK"/>
        </w:rPr>
        <w:lastRenderedPageBreak/>
        <w:t xml:space="preserve"> </w:t>
      </w:r>
    </w:p>
    <w:sectPr w:rsidR="00584414" w:rsidSect="0005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64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161F" w14:textId="77777777" w:rsidR="00D27540" w:rsidRDefault="00D27540">
      <w:r>
        <w:separator/>
      </w:r>
    </w:p>
  </w:endnote>
  <w:endnote w:type="continuationSeparator" w:id="0">
    <w:p w14:paraId="77741F31" w14:textId="77777777" w:rsidR="00D27540" w:rsidRDefault="00D2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FA48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4414">
      <w:rPr>
        <w:rStyle w:val="Sidetal"/>
        <w:noProof/>
      </w:rPr>
      <w:t>1</w:t>
    </w:r>
    <w:r>
      <w:rPr>
        <w:rStyle w:val="Sidetal"/>
      </w:rPr>
      <w:fldChar w:fldCharType="end"/>
    </w:r>
  </w:p>
  <w:p w14:paraId="11F89E4F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DE23" w14:textId="61559760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35377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B51C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3030" w14:textId="77777777" w:rsidR="00D27540" w:rsidRDefault="00D27540">
      <w:r>
        <w:separator/>
      </w:r>
    </w:p>
  </w:footnote>
  <w:footnote w:type="continuationSeparator" w:id="0">
    <w:p w14:paraId="2779FF39" w14:textId="77777777" w:rsidR="00D27540" w:rsidRDefault="00D2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C320" w14:textId="77777777" w:rsidR="00584414" w:rsidRDefault="005844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7D0C" w14:textId="77777777" w:rsidR="000E717B" w:rsidRDefault="000E717B">
    <w:pPr>
      <w:pStyle w:val="Sidehoved"/>
    </w:pPr>
  </w:p>
  <w:p w14:paraId="7C3E08D3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299A" w14:textId="77777777" w:rsidR="00CF1627" w:rsidRDefault="00584414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1B99734" wp14:editId="77EA9BE6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3E91E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0480951"/>
    <w:multiLevelType w:val="hybridMultilevel"/>
    <w:tmpl w:val="ADD8ADBA"/>
    <w:lvl w:ilvl="0" w:tplc="15E2E1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C55F46"/>
    <w:multiLevelType w:val="hybridMultilevel"/>
    <w:tmpl w:val="9A1C9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8451A0"/>
    <w:multiLevelType w:val="hybridMultilevel"/>
    <w:tmpl w:val="64FEC258"/>
    <w:lvl w:ilvl="0" w:tplc="15E2E1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4"/>
    <w:rsid w:val="00002EA0"/>
    <w:rsid w:val="00003636"/>
    <w:rsid w:val="00005FAA"/>
    <w:rsid w:val="0001457C"/>
    <w:rsid w:val="0001528D"/>
    <w:rsid w:val="000166A0"/>
    <w:rsid w:val="00030051"/>
    <w:rsid w:val="00037E7E"/>
    <w:rsid w:val="00053D8F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5364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79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10A"/>
    <w:rsid w:val="000F0B81"/>
    <w:rsid w:val="00103018"/>
    <w:rsid w:val="00104CB1"/>
    <w:rsid w:val="001062D0"/>
    <w:rsid w:val="00114DE6"/>
    <w:rsid w:val="00115880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6BB3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377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3D12"/>
    <w:rsid w:val="003C67E6"/>
    <w:rsid w:val="003D3CB2"/>
    <w:rsid w:val="003D518E"/>
    <w:rsid w:val="003E06B4"/>
    <w:rsid w:val="003E09D1"/>
    <w:rsid w:val="003E1377"/>
    <w:rsid w:val="003E3617"/>
    <w:rsid w:val="003F0D75"/>
    <w:rsid w:val="003F139C"/>
    <w:rsid w:val="003F3E86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5CC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50B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1482"/>
    <w:rsid w:val="004D23C9"/>
    <w:rsid w:val="004D6645"/>
    <w:rsid w:val="004E33EF"/>
    <w:rsid w:val="004E562B"/>
    <w:rsid w:val="004E642A"/>
    <w:rsid w:val="004E66B9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4414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08B6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3A1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A3DB3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3CCC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15A4"/>
    <w:rsid w:val="00B64DFD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6577B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3031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30CD"/>
    <w:rsid w:val="00D16472"/>
    <w:rsid w:val="00D27540"/>
    <w:rsid w:val="00D321C9"/>
    <w:rsid w:val="00D353A2"/>
    <w:rsid w:val="00D37FC2"/>
    <w:rsid w:val="00D4235D"/>
    <w:rsid w:val="00D43DB0"/>
    <w:rsid w:val="00D570C5"/>
    <w:rsid w:val="00D65E69"/>
    <w:rsid w:val="00D922CF"/>
    <w:rsid w:val="00D94D79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0AB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34C89"/>
  <w15:docId w15:val="{F2EBCCB4-3238-4231-90CA-B5EBFC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14"/>
    <w:pPr>
      <w:spacing w:line="240" w:lineRule="auto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line="260" w:lineRule="atLeast"/>
      <w:contextualSpacing/>
      <w:outlineLvl w:val="0"/>
    </w:pPr>
    <w:rPr>
      <w:rFonts w:ascii="Georgia" w:hAnsi="Georgia" w:cs="Arial"/>
      <w:b/>
      <w:bCs/>
      <w:sz w:val="2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lang w:val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line="260" w:lineRule="atLeast"/>
    </w:pPr>
    <w:rPr>
      <w:rFonts w:ascii="Georgia" w:hAnsi="Georgia"/>
      <w:sz w:val="20"/>
      <w:lang w:val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z w:val="14"/>
      <w:lang w:val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line="260" w:lineRule="atLeast"/>
    </w:pPr>
    <w:rPr>
      <w:rFonts w:ascii="Georgia" w:hAnsi="Georgia"/>
      <w:sz w:val="18"/>
      <w:lang w:val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  <w:sz w:val="20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hAnsi="Georgia"/>
      <w:sz w:val="20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hAnsi="Georgia"/>
      <w:sz w:val="20"/>
      <w:lang w:val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hAnsi="Georgia"/>
      <w:sz w:val="16"/>
      <w:szCs w:val="16"/>
      <w:lang w:val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hAnsi="Georgia"/>
      <w:sz w:val="20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16"/>
      <w:szCs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rFonts w:ascii="Georgia" w:hAnsi="Georgia"/>
      <w:b/>
      <w:bCs/>
      <w:color w:val="003127"/>
      <w:sz w:val="18"/>
      <w:szCs w:val="18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rPr>
      <w:rFonts w:ascii="Georgia" w:hAnsi="Georgia"/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val="da-DK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  <w:sz w:val="20"/>
      <w:lang w:val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rFonts w:ascii="Georgia" w:hAnsi="Georgia"/>
      <w:i/>
      <w:iCs/>
      <w:sz w:val="20"/>
      <w:lang w:val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  <w:sz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  <w:rPr>
      <w:rFonts w:ascii="Georgia" w:hAnsi="Georgia"/>
      <w:sz w:val="20"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  <w:rPr>
      <w:rFonts w:ascii="Georgia" w:hAnsi="Georgia"/>
      <w:sz w:val="20"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  <w:rPr>
      <w:rFonts w:ascii="Georgia" w:hAnsi="Georgia"/>
      <w:sz w:val="20"/>
      <w:lang w:val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  <w:rPr>
      <w:rFonts w:ascii="Georgia" w:hAnsi="Georgia"/>
      <w:sz w:val="20"/>
      <w:lang w:val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  <w:rPr>
      <w:rFonts w:ascii="Georgia" w:hAnsi="Georgia"/>
      <w:sz w:val="20"/>
      <w:lang w:val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  <w:rPr>
      <w:rFonts w:ascii="Georgia" w:hAnsi="Georgia"/>
      <w:sz w:val="20"/>
      <w:lang w:val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  <w:rPr>
      <w:rFonts w:ascii="Georgia" w:hAnsi="Georgia"/>
      <w:sz w:val="20"/>
      <w:lang w:val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  <w:rPr>
      <w:rFonts w:ascii="Georgia" w:hAnsi="Georgia"/>
      <w:sz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  <w:rPr>
      <w:rFonts w:ascii="Georgia" w:hAnsi="Georgia"/>
      <w:sz w:val="20"/>
      <w:lang w:val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line="260" w:lineRule="atLeast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color w:val="00874B" w:themeColor="accent1"/>
      <w:sz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line="260" w:lineRule="atLeast"/>
      <w:ind w:left="283" w:hanging="283"/>
      <w:contextualSpacing/>
    </w:pPr>
    <w:rPr>
      <w:rFonts w:ascii="Georgia" w:hAnsi="Georgia"/>
      <w:sz w:val="20"/>
      <w:lang w:val="da-DK"/>
    </w:rPr>
  </w:style>
  <w:style w:type="paragraph" w:styleId="Liste2">
    <w:name w:val="List 2"/>
    <w:basedOn w:val="Normal"/>
    <w:uiPriority w:val="99"/>
    <w:semiHidden/>
    <w:rsid w:val="00225534"/>
    <w:pPr>
      <w:spacing w:line="260" w:lineRule="atLeast"/>
      <w:ind w:left="566" w:hanging="283"/>
      <w:contextualSpacing/>
    </w:pPr>
    <w:rPr>
      <w:rFonts w:ascii="Georgia" w:hAnsi="Georgia"/>
      <w:sz w:val="20"/>
      <w:lang w:val="da-DK"/>
    </w:rPr>
  </w:style>
  <w:style w:type="paragraph" w:styleId="Liste3">
    <w:name w:val="List 3"/>
    <w:basedOn w:val="Normal"/>
    <w:uiPriority w:val="99"/>
    <w:semiHidden/>
    <w:rsid w:val="00225534"/>
    <w:pPr>
      <w:spacing w:line="260" w:lineRule="atLeast"/>
      <w:ind w:left="849" w:hanging="283"/>
      <w:contextualSpacing/>
    </w:pPr>
    <w:rPr>
      <w:rFonts w:ascii="Georgia" w:hAnsi="Georgia"/>
      <w:sz w:val="20"/>
      <w:lang w:val="da-DK"/>
    </w:rPr>
  </w:style>
  <w:style w:type="paragraph" w:styleId="Liste4">
    <w:name w:val="List 4"/>
    <w:basedOn w:val="Normal"/>
    <w:uiPriority w:val="99"/>
    <w:semiHidden/>
    <w:rsid w:val="00225534"/>
    <w:pPr>
      <w:spacing w:line="260" w:lineRule="atLeast"/>
      <w:ind w:left="1132" w:hanging="283"/>
      <w:contextualSpacing/>
    </w:pPr>
    <w:rPr>
      <w:rFonts w:ascii="Georgia" w:hAnsi="Georgia"/>
      <w:sz w:val="20"/>
      <w:lang w:val="da-DK"/>
    </w:rPr>
  </w:style>
  <w:style w:type="paragraph" w:styleId="Liste5">
    <w:name w:val="List 5"/>
    <w:basedOn w:val="Normal"/>
    <w:uiPriority w:val="99"/>
    <w:semiHidden/>
    <w:rsid w:val="00225534"/>
    <w:pPr>
      <w:spacing w:line="260" w:lineRule="atLeast"/>
      <w:ind w:left="1415" w:hanging="283"/>
      <w:contextualSpacing/>
    </w:pPr>
    <w:rPr>
      <w:rFonts w:ascii="Georgia" w:hAnsi="Georgia"/>
      <w:sz w:val="20"/>
      <w:lang w:val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hAnsi="Georgia"/>
      <w:sz w:val="20"/>
      <w:lang w:val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hAnsi="Georgia"/>
      <w:sz w:val="20"/>
      <w:lang w:val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hAnsi="Georgia"/>
      <w:sz w:val="20"/>
      <w:lang w:val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hAnsi="Georgia"/>
      <w:sz w:val="20"/>
      <w:lang w:val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hAnsi="Georgia"/>
      <w:sz w:val="20"/>
      <w:lang w:val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Listeafsnit">
    <w:name w:val="List Paragraph"/>
    <w:basedOn w:val="Normal"/>
    <w:uiPriority w:val="34"/>
    <w:qFormat/>
    <w:rsid w:val="00225534"/>
    <w:pPr>
      <w:spacing w:line="260" w:lineRule="atLeast"/>
      <w:ind w:left="720"/>
      <w:contextualSpacing/>
    </w:pPr>
    <w:rPr>
      <w:rFonts w:ascii="Georgia" w:hAnsi="Georgia"/>
      <w:sz w:val="20"/>
      <w:lang w:val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line="260" w:lineRule="atLeast"/>
    </w:pPr>
    <w:rPr>
      <w:rFonts w:ascii="Times New Roman" w:hAnsi="Times New Roman"/>
      <w:lang w:val="da-DK"/>
    </w:rPr>
  </w:style>
  <w:style w:type="paragraph" w:styleId="Normalindrykning">
    <w:name w:val="Normal Indent"/>
    <w:basedOn w:val="Normal"/>
    <w:uiPriority w:val="99"/>
    <w:semiHidden/>
    <w:rsid w:val="00225534"/>
    <w:pPr>
      <w:spacing w:line="260" w:lineRule="atLeast"/>
      <w:ind w:left="1304"/>
    </w:pPr>
    <w:rPr>
      <w:rFonts w:ascii="Georgia" w:hAnsi="Georgia"/>
      <w:sz w:val="20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line="260" w:lineRule="atLeast"/>
    </w:pPr>
    <w:rPr>
      <w:rFonts w:ascii="Georgia" w:hAnsi="Georgia"/>
      <w:i/>
      <w:iCs/>
      <w:color w:val="000000" w:themeColor="text1"/>
      <w:sz w:val="20"/>
      <w:lang w:val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line="260" w:lineRule="atLeast"/>
      <w:ind w:left="200" w:hanging="200"/>
    </w:pPr>
    <w:rPr>
      <w:rFonts w:ascii="Georgia" w:hAnsi="Georgia"/>
      <w:sz w:val="20"/>
      <w:lang w:val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val="da-DK"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z w:val="20"/>
      <w:szCs w:val="18"/>
      <w:lang w:val="da-DK"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eastAsiaTheme="minorHAnsi" w:hAnsi="Georgia" w:cstheme="minorBidi"/>
      <w:sz w:val="28"/>
      <w:szCs w:val="18"/>
      <w:lang w:val="da-DK"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80</TotalTime>
  <Pages>3</Pages>
  <Words>423</Words>
  <Characters>2589</Characters>
  <Application>Microsoft Office Word</Application>
  <DocSecurity>0</DocSecurity>
  <Lines>103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Anita Fjelsted</dc:creator>
  <cp:lastModifiedBy>Julie Kristine Thye</cp:lastModifiedBy>
  <cp:revision>12</cp:revision>
  <cp:lastPrinted>2018-08-20T12:50:00Z</cp:lastPrinted>
  <dcterms:created xsi:type="dcterms:W3CDTF">2019-03-14T07:09:00Z</dcterms:created>
  <dcterms:modified xsi:type="dcterms:W3CDTF">2020-03-17T11:31:00Z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Anita Fjelsted</vt:lpwstr>
  </property>
  <property fmtid="{D5CDD505-2E9C-101B-9397-08002B2CF9AE}" pid="15" name="SD_UserprofileName">
    <vt:lpwstr>Anita Fjelsted</vt:lpwstr>
  </property>
  <property fmtid="{D5CDD505-2E9C-101B-9397-08002B2CF9AE}" pid="16" name="SD_Office_OFF_ID">
    <vt:lpwstr>37</vt:lpwstr>
  </property>
  <property fmtid="{D5CDD505-2E9C-101B-9397-08002B2CF9AE}" pid="17" name="CurrentOfficeID">
    <vt:lpwstr>37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Pesticider og Biocider</vt:lpwstr>
  </property>
  <property fmtid="{D5CDD505-2E9C-101B-9397-08002B2CF9AE}" pid="24" name="SD_Office_OFF_Department">
    <vt:lpwstr>Pesticider og Biocider</vt:lpwstr>
  </property>
  <property fmtid="{D5CDD505-2E9C-101B-9397-08002B2CF9AE}" pid="25" name="SD_Office_OFF_Department_EN">
    <vt:lpwstr>Pesticides and Biocides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Copenhagen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Anita Fjelsted</vt:lpwstr>
  </property>
  <property fmtid="{D5CDD505-2E9C-101B-9397-08002B2CF9AE}" pid="46" name="USR_Initials">
    <vt:lpwstr>ANFJE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+45 72 54 45 19</vt:lpwstr>
  </property>
  <property fmtid="{D5CDD505-2E9C-101B-9397-08002B2CF9AE}" pid="49" name="USR_Mobile">
    <vt:lpwstr>+45 41 27 20 94</vt:lpwstr>
  </property>
  <property fmtid="{D5CDD505-2E9C-101B-9397-08002B2CF9AE}" pid="50" name="USR_Email">
    <vt:lpwstr>anfje@mst.dk</vt:lpwstr>
  </property>
  <property fmtid="{D5CDD505-2E9C-101B-9397-08002B2CF9AE}" pid="51" name="DocumentInfoFinished">
    <vt:lpwstr>True</vt:lpwstr>
  </property>
  <property fmtid="{D5CDD505-2E9C-101B-9397-08002B2CF9AE}" pid="52" name="sdDocumentDate">
    <vt:lpwstr>43545</vt:lpwstr>
  </property>
  <property fmtid="{D5CDD505-2E9C-101B-9397-08002B2CF9AE}" pid="53" name="SD_IntegrationInfoAdded">
    <vt:bool>true</vt:bool>
  </property>
</Properties>
</file>