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ED9" w:rsidRPr="00273ED9" w:rsidRDefault="00F95741" w:rsidP="00273ED9">
      <w:pPr>
        <w:spacing w:after="0" w:line="260" w:lineRule="atLeast"/>
        <w:jc w:val="right"/>
        <w:rPr>
          <w:rFonts w:ascii="Georgia" w:hAnsi="Georgia"/>
          <w:lang w:val="en-US"/>
        </w:rPr>
      </w:pPr>
      <w:r>
        <w:rPr>
          <w:rFonts w:ascii="Georgia" w:hAnsi="Georgia"/>
          <w:lang w:val="en-US"/>
        </w:rPr>
        <w:t>April</w:t>
      </w:r>
      <w:r w:rsidR="00273ED9" w:rsidRPr="00273ED9">
        <w:rPr>
          <w:rFonts w:ascii="Georgia" w:hAnsi="Georgia"/>
          <w:lang w:val="en-US"/>
        </w:rPr>
        <w:t>, 2014</w:t>
      </w:r>
    </w:p>
    <w:p w:rsidR="00273ED9" w:rsidRDefault="00273ED9" w:rsidP="00FA2F9A">
      <w:pPr>
        <w:spacing w:after="0" w:line="260" w:lineRule="atLeast"/>
        <w:rPr>
          <w:rFonts w:ascii="Georgia" w:hAnsi="Georgia"/>
          <w:b/>
          <w:lang w:val="en-US"/>
        </w:rPr>
      </w:pPr>
    </w:p>
    <w:p w:rsidR="00CF74AB" w:rsidRPr="00783E66" w:rsidRDefault="00E60562" w:rsidP="00FA2F9A">
      <w:pPr>
        <w:spacing w:after="0" w:line="260" w:lineRule="atLeast"/>
        <w:rPr>
          <w:rFonts w:ascii="Georgia" w:hAnsi="Georgia"/>
          <w:b/>
          <w:lang w:val="en-US"/>
        </w:rPr>
      </w:pPr>
      <w:bookmarkStart w:id="0" w:name="_GoBack"/>
      <w:r w:rsidRPr="00783E66">
        <w:rPr>
          <w:rFonts w:ascii="Georgia" w:hAnsi="Georgia"/>
          <w:b/>
          <w:lang w:val="en-US"/>
        </w:rPr>
        <w:t>Guidance Note on Higher Tier Birds &amp; Mammals Risk Assessment in Denmark</w:t>
      </w:r>
      <w:bookmarkEnd w:id="0"/>
    </w:p>
    <w:p w:rsidR="00E60562" w:rsidRPr="00FA2F9A" w:rsidRDefault="00E60562" w:rsidP="00FA2F9A">
      <w:pPr>
        <w:spacing w:after="0" w:line="260" w:lineRule="atLeast"/>
        <w:rPr>
          <w:rFonts w:ascii="Georgia" w:hAnsi="Georgia"/>
          <w:sz w:val="20"/>
          <w:szCs w:val="20"/>
          <w:lang w:val="en-US"/>
        </w:rPr>
      </w:pPr>
    </w:p>
    <w:p w:rsidR="00E60562" w:rsidRPr="00FA2F9A" w:rsidRDefault="00E60562" w:rsidP="00FA2F9A">
      <w:pPr>
        <w:spacing w:after="0" w:line="260" w:lineRule="atLeast"/>
        <w:rPr>
          <w:rFonts w:ascii="Georgia" w:hAnsi="Georgia"/>
          <w:sz w:val="20"/>
          <w:szCs w:val="20"/>
          <w:lang w:val="en-US"/>
        </w:rPr>
      </w:pPr>
    </w:p>
    <w:p w:rsidR="007E0E1B" w:rsidRPr="007E0E1B" w:rsidRDefault="007E0E1B" w:rsidP="00FA2F9A">
      <w:pPr>
        <w:spacing w:after="0" w:line="260" w:lineRule="atLeast"/>
        <w:rPr>
          <w:rFonts w:ascii="Georgia" w:hAnsi="Georgia"/>
          <w:b/>
          <w:sz w:val="20"/>
          <w:szCs w:val="20"/>
          <w:lang w:val="en-US"/>
        </w:rPr>
      </w:pPr>
      <w:r w:rsidRPr="007E0E1B">
        <w:rPr>
          <w:rFonts w:ascii="Georgia" w:hAnsi="Georgia"/>
          <w:b/>
          <w:sz w:val="20"/>
          <w:szCs w:val="20"/>
          <w:lang w:val="en-US"/>
        </w:rPr>
        <w:t>Background and purpose</w:t>
      </w:r>
    </w:p>
    <w:p w:rsidR="007E0E1B" w:rsidRDefault="007E0E1B" w:rsidP="00FA2F9A">
      <w:pPr>
        <w:spacing w:after="0" w:line="260" w:lineRule="atLeast"/>
        <w:rPr>
          <w:rFonts w:ascii="Georgia" w:hAnsi="Georgia"/>
          <w:sz w:val="20"/>
          <w:szCs w:val="20"/>
          <w:lang w:val="en-US"/>
        </w:rPr>
      </w:pPr>
    </w:p>
    <w:p w:rsidR="002C5FED" w:rsidRPr="00FA2F9A" w:rsidRDefault="00E60562" w:rsidP="00FA2F9A">
      <w:pPr>
        <w:spacing w:after="0" w:line="260" w:lineRule="atLeast"/>
        <w:rPr>
          <w:rFonts w:ascii="Georgia" w:hAnsi="Georgia"/>
          <w:sz w:val="20"/>
          <w:szCs w:val="20"/>
          <w:lang w:val="en-US"/>
        </w:rPr>
      </w:pPr>
      <w:r w:rsidRPr="00FA2F9A">
        <w:rPr>
          <w:rFonts w:ascii="Georgia" w:hAnsi="Georgia"/>
          <w:sz w:val="20"/>
          <w:szCs w:val="20"/>
          <w:lang w:val="en-US"/>
        </w:rPr>
        <w:t>This Guidance Note describe</w:t>
      </w:r>
      <w:r w:rsidR="00CF6189">
        <w:rPr>
          <w:rFonts w:ascii="Georgia" w:hAnsi="Georgia"/>
          <w:sz w:val="20"/>
          <w:szCs w:val="20"/>
          <w:lang w:val="en-US"/>
        </w:rPr>
        <w:t>s</w:t>
      </w:r>
      <w:r w:rsidRPr="00FA2F9A">
        <w:rPr>
          <w:rFonts w:ascii="Georgia" w:hAnsi="Georgia"/>
          <w:sz w:val="20"/>
          <w:szCs w:val="20"/>
          <w:lang w:val="en-US"/>
        </w:rPr>
        <w:t xml:space="preserve"> </w:t>
      </w:r>
      <w:r w:rsidR="009C6BED">
        <w:rPr>
          <w:rFonts w:ascii="Georgia" w:hAnsi="Georgia"/>
          <w:sz w:val="20"/>
          <w:szCs w:val="20"/>
          <w:lang w:val="en-US"/>
        </w:rPr>
        <w:t xml:space="preserve">a number of </w:t>
      </w:r>
      <w:r w:rsidR="00CF6189">
        <w:rPr>
          <w:rFonts w:ascii="Georgia" w:hAnsi="Georgia"/>
          <w:sz w:val="20"/>
          <w:szCs w:val="20"/>
          <w:lang w:val="en-US"/>
        </w:rPr>
        <w:t>option</w:t>
      </w:r>
      <w:r w:rsidRPr="00FA2F9A">
        <w:rPr>
          <w:rFonts w:ascii="Georgia" w:hAnsi="Georgia"/>
          <w:sz w:val="20"/>
          <w:szCs w:val="20"/>
          <w:lang w:val="en-US"/>
        </w:rPr>
        <w:t xml:space="preserve">s for </w:t>
      </w:r>
      <w:r w:rsidR="00FA253C">
        <w:rPr>
          <w:rFonts w:ascii="Georgia" w:hAnsi="Georgia"/>
          <w:sz w:val="20"/>
          <w:szCs w:val="20"/>
          <w:lang w:val="en-US"/>
        </w:rPr>
        <w:t>refinement of the</w:t>
      </w:r>
      <w:r w:rsidRPr="00FA2F9A">
        <w:rPr>
          <w:rFonts w:ascii="Georgia" w:hAnsi="Georgia"/>
          <w:sz w:val="20"/>
          <w:szCs w:val="20"/>
          <w:lang w:val="en-US"/>
        </w:rPr>
        <w:t xml:space="preserve"> risk assessment</w:t>
      </w:r>
      <w:r w:rsidR="002C5FED" w:rsidRPr="00FA2F9A">
        <w:rPr>
          <w:rFonts w:ascii="Georgia" w:hAnsi="Georgia"/>
          <w:sz w:val="20"/>
          <w:szCs w:val="20"/>
          <w:lang w:val="en-US"/>
        </w:rPr>
        <w:t xml:space="preserve"> for birds and mammals</w:t>
      </w:r>
      <w:r w:rsidR="00783E66">
        <w:rPr>
          <w:rFonts w:ascii="Georgia" w:hAnsi="Georgia"/>
          <w:sz w:val="20"/>
          <w:szCs w:val="20"/>
          <w:lang w:val="en-US"/>
        </w:rPr>
        <w:t xml:space="preserve">, which apply </w:t>
      </w:r>
      <w:r w:rsidR="00FA253C">
        <w:rPr>
          <w:rFonts w:ascii="Georgia" w:hAnsi="Georgia"/>
          <w:sz w:val="20"/>
          <w:szCs w:val="20"/>
          <w:lang w:val="en-US"/>
        </w:rPr>
        <w:t>to</w:t>
      </w:r>
      <w:r w:rsidR="002C5FED" w:rsidRPr="00FA2F9A">
        <w:rPr>
          <w:rFonts w:ascii="Georgia" w:hAnsi="Georgia"/>
          <w:sz w:val="20"/>
          <w:szCs w:val="20"/>
          <w:lang w:val="en-US"/>
        </w:rPr>
        <w:t xml:space="preserve"> national registration</w:t>
      </w:r>
      <w:r w:rsidR="00783E66">
        <w:rPr>
          <w:rFonts w:ascii="Georgia" w:hAnsi="Georgia"/>
          <w:sz w:val="20"/>
          <w:szCs w:val="20"/>
          <w:lang w:val="en-US"/>
        </w:rPr>
        <w:t>s</w:t>
      </w:r>
      <w:r w:rsidR="002C5FED" w:rsidRPr="00FA2F9A">
        <w:rPr>
          <w:rFonts w:ascii="Georgia" w:hAnsi="Georgia"/>
          <w:sz w:val="20"/>
          <w:szCs w:val="20"/>
          <w:lang w:val="en-US"/>
        </w:rPr>
        <w:t xml:space="preserve"> </w:t>
      </w:r>
      <w:r w:rsidR="00783E66">
        <w:rPr>
          <w:rFonts w:ascii="Georgia" w:hAnsi="Georgia"/>
          <w:sz w:val="20"/>
          <w:szCs w:val="20"/>
          <w:lang w:val="en-US"/>
        </w:rPr>
        <w:t xml:space="preserve">of plant protection products </w:t>
      </w:r>
      <w:r w:rsidR="002C5FED" w:rsidRPr="00FA2F9A">
        <w:rPr>
          <w:rFonts w:ascii="Georgia" w:hAnsi="Georgia"/>
          <w:sz w:val="20"/>
          <w:szCs w:val="20"/>
          <w:lang w:val="en-US"/>
        </w:rPr>
        <w:t>in Denmark</w:t>
      </w:r>
      <w:r w:rsidR="00783E66">
        <w:rPr>
          <w:rFonts w:ascii="Georgia" w:hAnsi="Georgia"/>
          <w:sz w:val="20"/>
          <w:szCs w:val="20"/>
          <w:lang w:val="en-US"/>
        </w:rPr>
        <w:t>.</w:t>
      </w:r>
    </w:p>
    <w:p w:rsidR="00FA2F9A" w:rsidRDefault="00FA2F9A" w:rsidP="00FA2F9A">
      <w:pPr>
        <w:spacing w:after="0" w:line="260" w:lineRule="atLeast"/>
        <w:rPr>
          <w:rFonts w:ascii="Georgia" w:hAnsi="Georgia"/>
          <w:sz w:val="20"/>
          <w:szCs w:val="20"/>
          <w:lang w:val="en-US"/>
        </w:rPr>
      </w:pPr>
    </w:p>
    <w:p w:rsidR="002C5FED" w:rsidRPr="00FA2F9A" w:rsidRDefault="002C5FED" w:rsidP="00783E66">
      <w:pPr>
        <w:spacing w:after="180" w:line="260" w:lineRule="atLeast"/>
        <w:rPr>
          <w:rFonts w:ascii="Georgia" w:hAnsi="Georgia"/>
          <w:sz w:val="20"/>
          <w:szCs w:val="20"/>
          <w:lang w:val="en-US"/>
        </w:rPr>
      </w:pPr>
      <w:r w:rsidRPr="00FA2F9A">
        <w:rPr>
          <w:rFonts w:ascii="Georgia" w:hAnsi="Georgia"/>
          <w:sz w:val="20"/>
          <w:szCs w:val="20"/>
          <w:lang w:val="en-US"/>
        </w:rPr>
        <w:t>Th</w:t>
      </w:r>
      <w:r w:rsidR="00783E66">
        <w:rPr>
          <w:rFonts w:ascii="Georgia" w:hAnsi="Georgia"/>
          <w:sz w:val="20"/>
          <w:szCs w:val="20"/>
          <w:lang w:val="en-US"/>
        </w:rPr>
        <w:t>e</w:t>
      </w:r>
      <w:r w:rsidRPr="00FA2F9A">
        <w:rPr>
          <w:rFonts w:ascii="Georgia" w:hAnsi="Georgia"/>
          <w:sz w:val="20"/>
          <w:szCs w:val="20"/>
          <w:lang w:val="en-US"/>
        </w:rPr>
        <w:t xml:space="preserve"> Gu</w:t>
      </w:r>
      <w:r w:rsidR="00783E66">
        <w:rPr>
          <w:rFonts w:ascii="Georgia" w:hAnsi="Georgia"/>
          <w:sz w:val="20"/>
          <w:szCs w:val="20"/>
          <w:lang w:val="en-US"/>
        </w:rPr>
        <w:t>i</w:t>
      </w:r>
      <w:r w:rsidRPr="00FA2F9A">
        <w:rPr>
          <w:rFonts w:ascii="Georgia" w:hAnsi="Georgia"/>
          <w:sz w:val="20"/>
          <w:szCs w:val="20"/>
          <w:lang w:val="en-US"/>
        </w:rPr>
        <w:t>dance Note shall be viewed in the context of the following documents:</w:t>
      </w:r>
    </w:p>
    <w:p w:rsidR="00FA2F9A" w:rsidRPr="00D907B3" w:rsidRDefault="00FA2F9A" w:rsidP="00D907B3">
      <w:pPr>
        <w:pStyle w:val="Listeafsnit"/>
        <w:numPr>
          <w:ilvl w:val="0"/>
          <w:numId w:val="1"/>
        </w:numPr>
        <w:spacing w:after="0" w:line="260" w:lineRule="atLeast"/>
        <w:ind w:left="357" w:hanging="357"/>
        <w:rPr>
          <w:rFonts w:ascii="Georgia" w:hAnsi="Georgia"/>
          <w:sz w:val="20"/>
          <w:szCs w:val="20"/>
          <w:lang w:val="en-US"/>
        </w:rPr>
      </w:pPr>
      <w:r w:rsidRPr="00D907B3">
        <w:rPr>
          <w:rFonts w:ascii="Georgia" w:hAnsi="Georgia"/>
          <w:sz w:val="20"/>
          <w:szCs w:val="20"/>
          <w:lang w:val="en-US"/>
        </w:rPr>
        <w:t xml:space="preserve">Guidance Document on </w:t>
      </w:r>
      <w:r w:rsidR="003E1A37">
        <w:rPr>
          <w:rFonts w:ascii="Georgia" w:hAnsi="Georgia"/>
          <w:sz w:val="20"/>
          <w:szCs w:val="20"/>
          <w:lang w:val="en-US"/>
        </w:rPr>
        <w:t>W</w:t>
      </w:r>
      <w:r w:rsidRPr="00D907B3">
        <w:rPr>
          <w:rFonts w:ascii="Georgia" w:hAnsi="Georgia"/>
          <w:sz w:val="20"/>
          <w:szCs w:val="20"/>
          <w:lang w:val="en-US"/>
        </w:rPr>
        <w:t xml:space="preserve">ork-sharing in the Northern Zone in the </w:t>
      </w:r>
      <w:r w:rsidR="003E1A37">
        <w:rPr>
          <w:rFonts w:ascii="Georgia" w:hAnsi="Georgia"/>
          <w:sz w:val="20"/>
          <w:szCs w:val="20"/>
          <w:lang w:val="en-US"/>
        </w:rPr>
        <w:t>Authorization of P</w:t>
      </w:r>
      <w:r w:rsidRPr="00D907B3">
        <w:rPr>
          <w:rFonts w:ascii="Georgia" w:hAnsi="Georgia"/>
          <w:sz w:val="20"/>
          <w:szCs w:val="20"/>
          <w:lang w:val="en-US"/>
        </w:rPr>
        <w:t xml:space="preserve">lant </w:t>
      </w:r>
      <w:r w:rsidR="003E1A37">
        <w:rPr>
          <w:rFonts w:ascii="Georgia" w:hAnsi="Georgia"/>
          <w:sz w:val="20"/>
          <w:szCs w:val="20"/>
          <w:lang w:val="en-US"/>
        </w:rPr>
        <w:t>P</w:t>
      </w:r>
      <w:r w:rsidRPr="00D907B3">
        <w:rPr>
          <w:rFonts w:ascii="Georgia" w:hAnsi="Georgia"/>
          <w:sz w:val="20"/>
          <w:szCs w:val="20"/>
          <w:lang w:val="en-US"/>
        </w:rPr>
        <w:t xml:space="preserve">rotection </w:t>
      </w:r>
      <w:r w:rsidR="003E1A37">
        <w:rPr>
          <w:rFonts w:ascii="Georgia" w:hAnsi="Georgia"/>
          <w:sz w:val="20"/>
          <w:szCs w:val="20"/>
          <w:lang w:val="en-US"/>
        </w:rPr>
        <w:t>P</w:t>
      </w:r>
      <w:r w:rsidRPr="00D907B3">
        <w:rPr>
          <w:rFonts w:ascii="Georgia" w:hAnsi="Georgia"/>
          <w:sz w:val="20"/>
          <w:szCs w:val="20"/>
          <w:lang w:val="en-US"/>
        </w:rPr>
        <w:t>roducts, April 2013</w:t>
      </w:r>
    </w:p>
    <w:p w:rsidR="00FA2F9A" w:rsidRDefault="00D41AE0" w:rsidP="00D907B3">
      <w:pPr>
        <w:spacing w:after="0" w:line="260" w:lineRule="atLeast"/>
        <w:ind w:left="357"/>
        <w:rPr>
          <w:rFonts w:ascii="Georgia" w:hAnsi="Georgia"/>
          <w:sz w:val="20"/>
          <w:szCs w:val="20"/>
          <w:lang w:val="en-US"/>
        </w:rPr>
      </w:pPr>
      <w:hyperlink r:id="rId9" w:history="1">
        <w:r w:rsidR="00D7240F" w:rsidRPr="00F7477B">
          <w:rPr>
            <w:rStyle w:val="Hyperlink"/>
            <w:rFonts w:ascii="Georgia" w:hAnsi="Georgia"/>
            <w:sz w:val="20"/>
            <w:szCs w:val="20"/>
            <w:lang w:val="en-US"/>
          </w:rPr>
          <w:t>http://www.mst.dk/NR/rdonlyres/F8172436-A8B5-4205-BCA6-029ABAF8B958/0/NorthernZoneworksharingguidance_April2013.pdf</w:t>
        </w:r>
      </w:hyperlink>
    </w:p>
    <w:p w:rsidR="00FA2F9A" w:rsidRPr="00D907B3" w:rsidRDefault="00FA2F9A" w:rsidP="00783E66">
      <w:pPr>
        <w:pStyle w:val="Listeafsnit"/>
        <w:numPr>
          <w:ilvl w:val="0"/>
          <w:numId w:val="1"/>
        </w:numPr>
        <w:spacing w:before="120" w:after="0" w:line="260" w:lineRule="atLeast"/>
        <w:ind w:left="357" w:hanging="357"/>
        <w:contextualSpacing w:val="0"/>
        <w:rPr>
          <w:rFonts w:ascii="Georgia" w:hAnsi="Georgia"/>
          <w:sz w:val="20"/>
          <w:szCs w:val="20"/>
          <w:lang w:val="en-US"/>
        </w:rPr>
      </w:pPr>
      <w:r w:rsidRPr="00D907B3">
        <w:rPr>
          <w:rFonts w:ascii="Georgia" w:hAnsi="Georgia"/>
          <w:sz w:val="20"/>
          <w:szCs w:val="20"/>
          <w:lang w:val="en-US"/>
        </w:rPr>
        <w:t>Framework for the Assessment of Plant Protection Products. Danish Environmental Protection Agency, February 2013</w:t>
      </w:r>
    </w:p>
    <w:p w:rsidR="00D7240F" w:rsidRDefault="00D41AE0" w:rsidP="00D907B3">
      <w:pPr>
        <w:spacing w:after="0" w:line="260" w:lineRule="atLeast"/>
        <w:ind w:left="357"/>
        <w:rPr>
          <w:rFonts w:ascii="Georgia" w:hAnsi="Georgia"/>
          <w:sz w:val="20"/>
          <w:szCs w:val="20"/>
          <w:lang w:val="en-US"/>
        </w:rPr>
      </w:pPr>
      <w:hyperlink r:id="rId10" w:history="1">
        <w:r w:rsidR="00D907B3" w:rsidRPr="00F7477B">
          <w:rPr>
            <w:rStyle w:val="Hyperlink"/>
            <w:rFonts w:ascii="Georgia" w:hAnsi="Georgia"/>
            <w:sz w:val="20"/>
            <w:szCs w:val="20"/>
            <w:lang w:val="en-US"/>
          </w:rPr>
          <w:t>http://www.mst.dk/NR/rdonlyres/A9A1B9EE-084E-46AA-BAE4-F0B573D4FDCC/0/DKFrameworkpesticideRAjan2013final.doc</w:t>
        </w:r>
      </w:hyperlink>
    </w:p>
    <w:p w:rsidR="00FA2F9A" w:rsidRPr="00D907B3" w:rsidRDefault="00FA2F9A" w:rsidP="00783E66">
      <w:pPr>
        <w:pStyle w:val="Listeafsnit"/>
        <w:numPr>
          <w:ilvl w:val="0"/>
          <w:numId w:val="1"/>
        </w:numPr>
        <w:spacing w:before="120" w:after="0" w:line="260" w:lineRule="atLeast"/>
        <w:ind w:left="357" w:hanging="357"/>
        <w:contextualSpacing w:val="0"/>
        <w:rPr>
          <w:rFonts w:ascii="Georgia" w:hAnsi="Georgia"/>
          <w:sz w:val="20"/>
          <w:szCs w:val="20"/>
          <w:lang w:val="en-US"/>
        </w:rPr>
      </w:pPr>
      <w:r w:rsidRPr="00D907B3">
        <w:rPr>
          <w:rFonts w:ascii="Georgia" w:hAnsi="Georgia"/>
          <w:sz w:val="20"/>
          <w:szCs w:val="20"/>
          <w:lang w:val="en-US"/>
        </w:rPr>
        <w:t>Guidance of EFSA: Risk Assessment for Birds and Mammals. EFSA Journal 2009; 7(12): 1438</w:t>
      </w:r>
    </w:p>
    <w:p w:rsidR="00FA2F9A" w:rsidRDefault="00D41AE0" w:rsidP="00D907B3">
      <w:pPr>
        <w:spacing w:after="0" w:line="260" w:lineRule="atLeast"/>
        <w:ind w:left="357"/>
        <w:rPr>
          <w:rFonts w:ascii="Georgia" w:hAnsi="Georgia"/>
          <w:sz w:val="20"/>
          <w:szCs w:val="20"/>
          <w:lang w:val="en-US"/>
        </w:rPr>
      </w:pPr>
      <w:hyperlink r:id="rId11" w:history="1">
        <w:r w:rsidR="00A77FE4" w:rsidRPr="00F7477B">
          <w:rPr>
            <w:rStyle w:val="Hyperlink"/>
            <w:rFonts w:ascii="Georgia" w:hAnsi="Georgia"/>
            <w:sz w:val="20"/>
            <w:szCs w:val="20"/>
            <w:lang w:val="en-US"/>
          </w:rPr>
          <w:t>http://www.efsa.europa.eu/en/efsajournal/doc/1438.pdf</w:t>
        </w:r>
      </w:hyperlink>
    </w:p>
    <w:p w:rsidR="00D04072" w:rsidRPr="00D04072" w:rsidRDefault="00FA2F9A" w:rsidP="00D04072">
      <w:pPr>
        <w:pStyle w:val="Listeafsnit"/>
        <w:numPr>
          <w:ilvl w:val="0"/>
          <w:numId w:val="1"/>
        </w:numPr>
        <w:spacing w:before="120" w:after="0" w:line="260" w:lineRule="atLeast"/>
        <w:ind w:left="357" w:hanging="357"/>
        <w:contextualSpacing w:val="0"/>
        <w:rPr>
          <w:rFonts w:ascii="Georgia" w:hAnsi="Georgia"/>
          <w:sz w:val="20"/>
          <w:szCs w:val="20"/>
          <w:lang w:val="en-US"/>
        </w:rPr>
      </w:pPr>
      <w:r w:rsidRPr="00D907B3">
        <w:rPr>
          <w:rFonts w:ascii="Georgia" w:hAnsi="Georgia"/>
          <w:sz w:val="20"/>
          <w:szCs w:val="20"/>
          <w:lang w:val="en-US"/>
        </w:rPr>
        <w:t>Pesticide Risk Assessment for Birds and Mammals. Selection of relevant species and development of standard scenarios for higher tier risk assessment in the Northern Zone in accordance with Regulation EC 1107/2009</w:t>
      </w:r>
      <w:r w:rsidR="0057672B">
        <w:rPr>
          <w:rFonts w:ascii="Georgia" w:hAnsi="Georgia"/>
          <w:sz w:val="20"/>
          <w:szCs w:val="20"/>
          <w:lang w:val="en-US"/>
        </w:rPr>
        <w:t>, January 2014 (version 1.1)</w:t>
      </w:r>
      <w:r w:rsidR="0057672B">
        <w:rPr>
          <w:rFonts w:ascii="Georgia" w:hAnsi="Georgia"/>
          <w:sz w:val="20"/>
          <w:szCs w:val="20"/>
          <w:lang w:val="en-US"/>
        </w:rPr>
        <w:br/>
      </w:r>
      <w:hyperlink r:id="rId12" w:history="1">
        <w:r w:rsidR="00D04072" w:rsidRPr="00D04072">
          <w:rPr>
            <w:rStyle w:val="Hyperlink"/>
            <w:rFonts w:ascii="Times New Roman" w:hAnsi="Times New Roman" w:cs="Times New Roman"/>
            <w:lang w:val="en-US"/>
          </w:rPr>
          <w:t>http://mst.dk/media/mst/9038564/Birds-and-mammals-higher-tier-risk-assesment-Northern-Zone2014April-ver1-1.docx</w:t>
        </w:r>
      </w:hyperlink>
    </w:p>
    <w:p w:rsidR="00D907B3" w:rsidRDefault="00156999" w:rsidP="00156999">
      <w:pPr>
        <w:spacing w:before="120" w:after="0" w:line="260" w:lineRule="atLeast"/>
        <w:ind w:left="357"/>
        <w:rPr>
          <w:rFonts w:ascii="Georgia" w:hAnsi="Georgia"/>
          <w:sz w:val="20"/>
          <w:szCs w:val="20"/>
          <w:lang w:val="en-US"/>
        </w:rPr>
      </w:pPr>
      <w:proofErr w:type="gramStart"/>
      <w:r>
        <w:rPr>
          <w:rFonts w:ascii="Georgia" w:hAnsi="Georgia"/>
          <w:sz w:val="20"/>
          <w:szCs w:val="20"/>
          <w:lang w:val="en-US"/>
        </w:rPr>
        <w:t>and</w:t>
      </w:r>
      <w:proofErr w:type="gramEnd"/>
      <w:r>
        <w:rPr>
          <w:rFonts w:ascii="Georgia" w:hAnsi="Georgia"/>
          <w:sz w:val="20"/>
          <w:szCs w:val="20"/>
          <w:lang w:val="en-US"/>
        </w:rPr>
        <w:t xml:space="preserve"> the accompanying Calculation Tool</w:t>
      </w:r>
      <w:r w:rsidR="0057672B">
        <w:rPr>
          <w:rFonts w:ascii="Georgia" w:hAnsi="Georgia"/>
          <w:sz w:val="20"/>
          <w:szCs w:val="20"/>
          <w:lang w:val="en-US"/>
        </w:rPr>
        <w:t xml:space="preserve"> (version 1.1)</w:t>
      </w:r>
    </w:p>
    <w:p w:rsidR="00156999" w:rsidRPr="00D04072" w:rsidRDefault="00D41AE0" w:rsidP="00156999">
      <w:pPr>
        <w:spacing w:after="0" w:line="260" w:lineRule="atLeast"/>
        <w:ind w:left="357"/>
        <w:rPr>
          <w:rFonts w:ascii="Times New Roman" w:hAnsi="Times New Roman" w:cs="Times New Roman"/>
          <w:lang w:val="en-US"/>
        </w:rPr>
      </w:pPr>
      <w:hyperlink r:id="rId13" w:history="1">
        <w:r w:rsidR="00D04072" w:rsidRPr="00D04072">
          <w:rPr>
            <w:rStyle w:val="Hyperlink"/>
            <w:rFonts w:ascii="Times New Roman" w:hAnsi="Times New Roman" w:cs="Times New Roman"/>
            <w:lang w:val="en-US"/>
          </w:rPr>
          <w:t>http://mst.dk/media/mst/9038561/Bird-mammal-scenario-template_v1-1.xlsm</w:t>
        </w:r>
      </w:hyperlink>
    </w:p>
    <w:p w:rsidR="0057672B" w:rsidRDefault="0057672B" w:rsidP="00156999">
      <w:pPr>
        <w:spacing w:after="0" w:line="260" w:lineRule="atLeast"/>
        <w:ind w:left="357"/>
        <w:rPr>
          <w:rFonts w:ascii="Georgia" w:hAnsi="Georgia"/>
          <w:sz w:val="20"/>
          <w:szCs w:val="20"/>
          <w:lang w:val="en-US"/>
        </w:rPr>
      </w:pPr>
    </w:p>
    <w:p w:rsidR="00FA253C" w:rsidRDefault="003E1A37" w:rsidP="00FA2F9A">
      <w:pPr>
        <w:spacing w:after="0" w:line="260" w:lineRule="atLeast"/>
        <w:rPr>
          <w:rFonts w:ascii="Georgia" w:hAnsi="Georgia"/>
          <w:sz w:val="20"/>
          <w:szCs w:val="20"/>
          <w:lang w:val="en-US"/>
        </w:rPr>
      </w:pPr>
      <w:r>
        <w:rPr>
          <w:rFonts w:ascii="Georgia" w:hAnsi="Georgia"/>
          <w:sz w:val="20"/>
          <w:szCs w:val="20"/>
          <w:lang w:val="en-US"/>
        </w:rPr>
        <w:t xml:space="preserve">Tier 1 risk assessment for birds and mammals within the Northern Zone is performed in accordance with Guidance of EFSA (2009) with a few amendments as described in section 4.6.3 of the </w:t>
      </w:r>
      <w:r w:rsidR="00FA253C">
        <w:rPr>
          <w:rFonts w:ascii="Georgia" w:hAnsi="Georgia"/>
          <w:sz w:val="20"/>
          <w:szCs w:val="20"/>
          <w:lang w:val="en-US"/>
        </w:rPr>
        <w:t xml:space="preserve">Guidance Document on </w:t>
      </w:r>
      <w:r>
        <w:rPr>
          <w:rFonts w:ascii="Georgia" w:hAnsi="Georgia"/>
          <w:sz w:val="20"/>
          <w:szCs w:val="20"/>
          <w:lang w:val="en-US"/>
        </w:rPr>
        <w:t xml:space="preserve">Work-sharing </w:t>
      </w:r>
      <w:r w:rsidR="00FA253C">
        <w:rPr>
          <w:rFonts w:ascii="Georgia" w:hAnsi="Georgia"/>
          <w:sz w:val="20"/>
          <w:szCs w:val="20"/>
          <w:lang w:val="en-US"/>
        </w:rPr>
        <w:t>in the Northern Zone</w:t>
      </w:r>
      <w:r>
        <w:rPr>
          <w:rFonts w:ascii="Georgia" w:hAnsi="Georgia"/>
          <w:sz w:val="20"/>
          <w:szCs w:val="20"/>
          <w:lang w:val="en-US"/>
        </w:rPr>
        <w:t xml:space="preserve">. </w:t>
      </w:r>
    </w:p>
    <w:p w:rsidR="00FA253C" w:rsidRDefault="00FA253C" w:rsidP="00FA2F9A">
      <w:pPr>
        <w:spacing w:after="0" w:line="260" w:lineRule="atLeast"/>
        <w:rPr>
          <w:rFonts w:ascii="Georgia" w:hAnsi="Georgia"/>
          <w:sz w:val="20"/>
          <w:szCs w:val="20"/>
          <w:lang w:val="en-US"/>
        </w:rPr>
      </w:pPr>
    </w:p>
    <w:p w:rsidR="003E1A37" w:rsidRPr="00F97F06" w:rsidRDefault="003E1A37" w:rsidP="00FA2F9A">
      <w:pPr>
        <w:spacing w:after="0" w:line="260" w:lineRule="atLeast"/>
        <w:rPr>
          <w:rFonts w:ascii="Georgia" w:hAnsi="Georgia"/>
          <w:sz w:val="20"/>
          <w:szCs w:val="20"/>
          <w:lang w:val="en-US"/>
        </w:rPr>
      </w:pPr>
      <w:r>
        <w:rPr>
          <w:rFonts w:ascii="Georgia" w:hAnsi="Georgia"/>
          <w:sz w:val="20"/>
          <w:szCs w:val="20"/>
          <w:lang w:val="en-US"/>
        </w:rPr>
        <w:t>Higher tier risk assessment</w:t>
      </w:r>
      <w:r w:rsidR="00CF6189">
        <w:rPr>
          <w:rFonts w:ascii="Georgia" w:hAnsi="Georgia"/>
          <w:sz w:val="20"/>
          <w:szCs w:val="20"/>
          <w:lang w:val="en-US"/>
        </w:rPr>
        <w:t xml:space="preserve"> is performed a</w:t>
      </w:r>
      <w:r w:rsidR="00CF6189" w:rsidRPr="00F97F06">
        <w:rPr>
          <w:rFonts w:ascii="Georgia" w:hAnsi="Georgia"/>
          <w:sz w:val="20"/>
          <w:szCs w:val="20"/>
          <w:lang w:val="en-US"/>
        </w:rPr>
        <w:t>ccording to the Northern Zone Guidance Document “Pesticide Risk Assessment for Birds and Mammals”.</w:t>
      </w:r>
      <w:r w:rsidR="00F97F06" w:rsidRPr="00F97F06">
        <w:rPr>
          <w:rFonts w:ascii="Georgia" w:hAnsi="Georgia"/>
          <w:sz w:val="20"/>
          <w:szCs w:val="20"/>
          <w:lang w:val="en-US"/>
        </w:rPr>
        <w:t xml:space="preserve"> The list of refinement options </w:t>
      </w:r>
      <w:r w:rsidR="00F97F06">
        <w:rPr>
          <w:rFonts w:ascii="Georgia" w:hAnsi="Georgia"/>
          <w:sz w:val="20"/>
          <w:szCs w:val="20"/>
          <w:lang w:val="en-US"/>
        </w:rPr>
        <w:t xml:space="preserve">provided in this Guidance Document </w:t>
      </w:r>
      <w:r w:rsidR="00F97F06" w:rsidRPr="00F97F06">
        <w:rPr>
          <w:rFonts w:ascii="Georgia" w:hAnsi="Georgia"/>
          <w:sz w:val="20"/>
          <w:szCs w:val="20"/>
          <w:lang w:val="en-US"/>
        </w:rPr>
        <w:t xml:space="preserve">is considered as exhaustive, i.e. no further refinements are </w:t>
      </w:r>
      <w:r w:rsidR="00F97F06">
        <w:rPr>
          <w:rFonts w:ascii="Georgia" w:hAnsi="Georgia"/>
          <w:sz w:val="20"/>
          <w:szCs w:val="20"/>
          <w:lang w:val="en-US"/>
        </w:rPr>
        <w:t xml:space="preserve">generally </w:t>
      </w:r>
      <w:r w:rsidR="00F97F06" w:rsidRPr="00F97F06">
        <w:rPr>
          <w:rFonts w:ascii="Georgia" w:hAnsi="Georgia"/>
          <w:sz w:val="20"/>
          <w:szCs w:val="20"/>
          <w:lang w:val="en-US"/>
        </w:rPr>
        <w:t>accepted</w:t>
      </w:r>
      <w:r w:rsidR="009C6BED">
        <w:rPr>
          <w:rFonts w:ascii="Georgia" w:hAnsi="Georgia"/>
          <w:sz w:val="20"/>
          <w:szCs w:val="20"/>
          <w:lang w:val="en-US"/>
        </w:rPr>
        <w:t xml:space="preserve"> for the Core assessment</w:t>
      </w:r>
      <w:r w:rsidR="00F97F06" w:rsidRPr="00F97F06">
        <w:rPr>
          <w:rFonts w:ascii="Georgia" w:hAnsi="Georgia"/>
          <w:sz w:val="20"/>
          <w:szCs w:val="20"/>
          <w:lang w:val="en-US"/>
        </w:rPr>
        <w:t>.</w:t>
      </w:r>
    </w:p>
    <w:p w:rsidR="00CF6189" w:rsidRPr="00F97F06" w:rsidRDefault="00CF6189" w:rsidP="00FA2F9A">
      <w:pPr>
        <w:spacing w:after="0" w:line="260" w:lineRule="atLeast"/>
        <w:rPr>
          <w:rFonts w:ascii="Georgia" w:hAnsi="Georgia"/>
          <w:sz w:val="20"/>
          <w:szCs w:val="20"/>
          <w:lang w:val="en-US"/>
        </w:rPr>
      </w:pPr>
    </w:p>
    <w:p w:rsidR="003E1A37" w:rsidRDefault="00CF6189" w:rsidP="00FA2F9A">
      <w:pPr>
        <w:spacing w:after="0" w:line="260" w:lineRule="atLeast"/>
        <w:rPr>
          <w:rFonts w:ascii="Georgia" w:hAnsi="Georgia"/>
          <w:sz w:val="20"/>
          <w:szCs w:val="20"/>
          <w:lang w:val="en-US"/>
        </w:rPr>
      </w:pPr>
      <w:r>
        <w:rPr>
          <w:rFonts w:ascii="Georgia" w:hAnsi="Georgia"/>
          <w:sz w:val="20"/>
          <w:szCs w:val="20"/>
          <w:lang w:val="en-US"/>
        </w:rPr>
        <w:t>In Denmark</w:t>
      </w:r>
      <w:r w:rsidR="00F97F06">
        <w:rPr>
          <w:rFonts w:ascii="Georgia" w:hAnsi="Georgia"/>
          <w:sz w:val="20"/>
          <w:szCs w:val="20"/>
          <w:lang w:val="en-US"/>
        </w:rPr>
        <w:t>, however,</w:t>
      </w:r>
      <w:r w:rsidRPr="00CF6189">
        <w:rPr>
          <w:rFonts w:ascii="Georgia" w:hAnsi="Georgia"/>
          <w:sz w:val="20"/>
          <w:szCs w:val="20"/>
          <w:lang w:val="en-US"/>
        </w:rPr>
        <w:t xml:space="preserve"> some further refinements </w:t>
      </w:r>
      <w:r>
        <w:rPr>
          <w:rFonts w:ascii="Georgia" w:hAnsi="Georgia"/>
          <w:sz w:val="20"/>
          <w:szCs w:val="20"/>
          <w:lang w:val="en-US"/>
        </w:rPr>
        <w:t xml:space="preserve">of the risk assessment </w:t>
      </w:r>
      <w:r w:rsidRPr="00CF6189">
        <w:rPr>
          <w:rFonts w:ascii="Georgia" w:hAnsi="Georgia"/>
          <w:sz w:val="20"/>
          <w:szCs w:val="20"/>
          <w:lang w:val="en-US"/>
        </w:rPr>
        <w:t xml:space="preserve">may be applicable. </w:t>
      </w:r>
      <w:r w:rsidR="007E0E1B">
        <w:rPr>
          <w:rFonts w:ascii="Georgia" w:hAnsi="Georgia"/>
          <w:sz w:val="20"/>
          <w:szCs w:val="20"/>
          <w:lang w:val="en-US"/>
        </w:rPr>
        <w:t xml:space="preserve">The aim of this Guidance Note is to provide an overview and a short description of these refinement options. Higher tier risk assessments making use of these options shall </w:t>
      </w:r>
      <w:r w:rsidRPr="00CF6189">
        <w:rPr>
          <w:rFonts w:ascii="Georgia" w:hAnsi="Georgia"/>
          <w:sz w:val="20"/>
          <w:szCs w:val="20"/>
          <w:lang w:val="en-US"/>
        </w:rPr>
        <w:t>be pr</w:t>
      </w:r>
      <w:r w:rsidR="00F97F06">
        <w:rPr>
          <w:rFonts w:ascii="Georgia" w:hAnsi="Georgia"/>
          <w:sz w:val="20"/>
          <w:szCs w:val="20"/>
          <w:lang w:val="en-US"/>
        </w:rPr>
        <w:t>esent</w:t>
      </w:r>
      <w:r w:rsidRPr="00CF6189">
        <w:rPr>
          <w:rFonts w:ascii="Georgia" w:hAnsi="Georgia"/>
          <w:sz w:val="20"/>
          <w:szCs w:val="20"/>
          <w:lang w:val="en-US"/>
        </w:rPr>
        <w:t xml:space="preserve">ed in the </w:t>
      </w:r>
      <w:r w:rsidR="007E0E1B">
        <w:rPr>
          <w:rFonts w:ascii="Georgia" w:hAnsi="Georgia"/>
          <w:sz w:val="20"/>
          <w:szCs w:val="20"/>
          <w:lang w:val="en-US"/>
        </w:rPr>
        <w:t xml:space="preserve">Danish </w:t>
      </w:r>
      <w:r w:rsidRPr="00CF6189">
        <w:rPr>
          <w:rFonts w:ascii="Georgia" w:hAnsi="Georgia"/>
          <w:sz w:val="20"/>
          <w:szCs w:val="20"/>
          <w:lang w:val="en-US"/>
        </w:rPr>
        <w:t>national addendum.</w:t>
      </w:r>
    </w:p>
    <w:p w:rsidR="003E1A37" w:rsidRDefault="003E1A37" w:rsidP="00FA2F9A">
      <w:pPr>
        <w:spacing w:after="0" w:line="260" w:lineRule="atLeast"/>
        <w:rPr>
          <w:rFonts w:ascii="Georgia" w:hAnsi="Georgia"/>
          <w:sz w:val="20"/>
          <w:szCs w:val="20"/>
          <w:lang w:val="en-US"/>
        </w:rPr>
      </w:pPr>
    </w:p>
    <w:p w:rsidR="002C5FED" w:rsidRDefault="002C5FED" w:rsidP="00FA2F9A">
      <w:pPr>
        <w:spacing w:after="0" w:line="260" w:lineRule="atLeast"/>
        <w:rPr>
          <w:rFonts w:ascii="Georgia" w:hAnsi="Georgia"/>
          <w:sz w:val="20"/>
          <w:szCs w:val="20"/>
          <w:lang w:val="en-US"/>
        </w:rPr>
      </w:pPr>
      <w:r w:rsidRPr="00FA2F9A">
        <w:rPr>
          <w:rFonts w:ascii="Georgia" w:hAnsi="Georgia"/>
          <w:sz w:val="20"/>
          <w:szCs w:val="20"/>
          <w:lang w:val="en-US"/>
        </w:rPr>
        <w:t xml:space="preserve">The Guidance Note </w:t>
      </w:r>
      <w:r w:rsidR="009C6BED">
        <w:rPr>
          <w:rFonts w:ascii="Georgia" w:hAnsi="Georgia"/>
          <w:sz w:val="20"/>
          <w:szCs w:val="20"/>
          <w:lang w:val="en-US"/>
        </w:rPr>
        <w:t>is intended to</w:t>
      </w:r>
      <w:r w:rsidRPr="00FA2F9A">
        <w:rPr>
          <w:rFonts w:ascii="Georgia" w:hAnsi="Georgia"/>
          <w:sz w:val="20"/>
          <w:szCs w:val="20"/>
          <w:lang w:val="en-US"/>
        </w:rPr>
        <w:t xml:space="preserve"> serve as guidance to applicants and shall also facilitate a </w:t>
      </w:r>
      <w:proofErr w:type="spellStart"/>
      <w:r w:rsidRPr="00FA2F9A">
        <w:rPr>
          <w:rFonts w:ascii="Georgia" w:hAnsi="Georgia"/>
          <w:sz w:val="20"/>
          <w:szCs w:val="20"/>
          <w:lang w:val="en-US"/>
        </w:rPr>
        <w:t>standardised</w:t>
      </w:r>
      <w:proofErr w:type="spellEnd"/>
      <w:r w:rsidRPr="00FA2F9A">
        <w:rPr>
          <w:rFonts w:ascii="Georgia" w:hAnsi="Georgia"/>
          <w:sz w:val="20"/>
          <w:szCs w:val="20"/>
          <w:lang w:val="en-US"/>
        </w:rPr>
        <w:t xml:space="preserve"> assessment by the Danish Environmental Protection Agency.</w:t>
      </w:r>
    </w:p>
    <w:p w:rsidR="0057666E" w:rsidRDefault="0057666E" w:rsidP="00FA2F9A">
      <w:pPr>
        <w:spacing w:after="0" w:line="260" w:lineRule="atLeast"/>
        <w:rPr>
          <w:rFonts w:ascii="Georgia" w:hAnsi="Georgia"/>
          <w:sz w:val="20"/>
          <w:szCs w:val="20"/>
          <w:lang w:val="en-US"/>
        </w:rPr>
      </w:pPr>
    </w:p>
    <w:p w:rsidR="0057666E" w:rsidRDefault="0057666E" w:rsidP="00FA2F9A">
      <w:pPr>
        <w:spacing w:after="0" w:line="260" w:lineRule="atLeast"/>
        <w:rPr>
          <w:rFonts w:ascii="Georgia" w:hAnsi="Georgia"/>
          <w:sz w:val="20"/>
          <w:szCs w:val="20"/>
          <w:lang w:val="en-US"/>
        </w:rPr>
      </w:pPr>
      <w:r>
        <w:rPr>
          <w:rFonts w:ascii="Georgia" w:hAnsi="Georgia"/>
          <w:sz w:val="20"/>
          <w:szCs w:val="20"/>
          <w:lang w:val="en-US"/>
        </w:rPr>
        <w:t>All refinement options described in the following tables may be implemented using the Northern Zone Calculation Tool.</w:t>
      </w:r>
    </w:p>
    <w:p w:rsidR="002F404C" w:rsidRDefault="002F404C" w:rsidP="00FA2F9A">
      <w:pPr>
        <w:spacing w:after="0" w:line="260" w:lineRule="atLeast"/>
        <w:rPr>
          <w:rFonts w:ascii="Georgia" w:hAnsi="Georgia"/>
          <w:sz w:val="20"/>
          <w:szCs w:val="20"/>
          <w:lang w:val="en-US"/>
        </w:rPr>
      </w:pPr>
    </w:p>
    <w:p w:rsidR="00143EB6" w:rsidRDefault="00143EB6">
      <w:pPr>
        <w:rPr>
          <w:rFonts w:ascii="Georgia" w:hAnsi="Georgia"/>
          <w:b/>
          <w:sz w:val="20"/>
          <w:szCs w:val="20"/>
          <w:lang w:val="en-US"/>
        </w:rPr>
      </w:pPr>
      <w:r>
        <w:rPr>
          <w:rFonts w:ascii="Georgia" w:hAnsi="Georgia"/>
          <w:b/>
          <w:sz w:val="20"/>
          <w:szCs w:val="20"/>
          <w:lang w:val="en-US"/>
        </w:rPr>
        <w:br w:type="page"/>
      </w:r>
    </w:p>
    <w:p w:rsidR="007E0E1B" w:rsidRPr="002F404C" w:rsidRDefault="002F404C" w:rsidP="00FA2F9A">
      <w:pPr>
        <w:spacing w:after="0" w:line="260" w:lineRule="atLeast"/>
        <w:rPr>
          <w:rFonts w:ascii="Georgia" w:hAnsi="Georgia"/>
          <w:b/>
          <w:sz w:val="20"/>
          <w:szCs w:val="20"/>
          <w:lang w:val="en-US"/>
        </w:rPr>
      </w:pPr>
      <w:r w:rsidRPr="002F404C">
        <w:rPr>
          <w:rFonts w:ascii="Georgia" w:hAnsi="Georgia"/>
          <w:b/>
          <w:sz w:val="20"/>
          <w:szCs w:val="20"/>
          <w:lang w:val="en-US"/>
        </w:rPr>
        <w:lastRenderedPageBreak/>
        <w:t xml:space="preserve">Summary of Danish mandatory deviations from </w:t>
      </w:r>
      <w:r w:rsidR="00FA253C">
        <w:rPr>
          <w:rFonts w:ascii="Georgia" w:hAnsi="Georgia"/>
          <w:b/>
          <w:sz w:val="20"/>
          <w:szCs w:val="20"/>
          <w:lang w:val="en-US"/>
        </w:rPr>
        <w:t>the C</w:t>
      </w:r>
      <w:r w:rsidRPr="002F404C">
        <w:rPr>
          <w:rFonts w:ascii="Georgia" w:hAnsi="Georgia"/>
          <w:b/>
          <w:sz w:val="20"/>
          <w:szCs w:val="20"/>
          <w:lang w:val="en-US"/>
        </w:rPr>
        <w:t>ore assessment</w:t>
      </w:r>
    </w:p>
    <w:p w:rsidR="002F404C" w:rsidRDefault="002F404C" w:rsidP="00FA2F9A">
      <w:pPr>
        <w:spacing w:after="0" w:line="260" w:lineRule="atLeast"/>
        <w:rPr>
          <w:rFonts w:ascii="Georgia" w:hAnsi="Georgia"/>
          <w:b/>
          <w:sz w:val="20"/>
          <w:szCs w:val="20"/>
          <w:lang w:val="en-US"/>
        </w:rPr>
      </w:pPr>
    </w:p>
    <w:tbl>
      <w:tblPr>
        <w:tblStyle w:val="Tabel-Gitter"/>
        <w:tblW w:w="0" w:type="auto"/>
        <w:tblInd w:w="113" w:type="dxa"/>
        <w:tblLook w:val="04A0" w:firstRow="1" w:lastRow="0" w:firstColumn="1" w:lastColumn="0" w:noHBand="0" w:noVBand="1"/>
      </w:tblPr>
      <w:tblGrid>
        <w:gridCol w:w="1871"/>
        <w:gridCol w:w="3855"/>
        <w:gridCol w:w="3855"/>
      </w:tblGrid>
      <w:tr w:rsidR="0028041D" w:rsidTr="003B50C7">
        <w:trPr>
          <w:trHeight w:val="283"/>
        </w:trPr>
        <w:tc>
          <w:tcPr>
            <w:tcW w:w="1871" w:type="dxa"/>
            <w:tcBorders>
              <w:bottom w:val="single" w:sz="4" w:space="0" w:color="auto"/>
            </w:tcBorders>
          </w:tcPr>
          <w:p w:rsidR="00F97F06" w:rsidRDefault="00F97F06" w:rsidP="00FA2F9A">
            <w:pPr>
              <w:spacing w:line="260" w:lineRule="atLeast"/>
              <w:rPr>
                <w:rFonts w:ascii="Georgia" w:hAnsi="Georgia"/>
                <w:sz w:val="20"/>
                <w:szCs w:val="20"/>
                <w:lang w:val="en-US"/>
              </w:rPr>
            </w:pPr>
          </w:p>
        </w:tc>
        <w:tc>
          <w:tcPr>
            <w:tcW w:w="3855" w:type="dxa"/>
          </w:tcPr>
          <w:p w:rsidR="00F97F06" w:rsidRPr="00F97F06" w:rsidRDefault="00F97F06" w:rsidP="00F97F06">
            <w:pPr>
              <w:spacing w:line="260" w:lineRule="atLeast"/>
              <w:rPr>
                <w:rFonts w:ascii="Georgia" w:hAnsi="Georgia"/>
                <w:b/>
                <w:sz w:val="20"/>
                <w:szCs w:val="20"/>
                <w:lang w:val="en-US"/>
              </w:rPr>
            </w:pPr>
            <w:r w:rsidRPr="00F97F06">
              <w:rPr>
                <w:rFonts w:ascii="Georgia" w:hAnsi="Georgia"/>
                <w:b/>
                <w:sz w:val="20"/>
                <w:szCs w:val="20"/>
                <w:lang w:val="en-US"/>
              </w:rPr>
              <w:t>Northern Zone</w:t>
            </w:r>
            <w:r w:rsidR="00FA253C">
              <w:rPr>
                <w:rFonts w:ascii="Georgia" w:hAnsi="Georgia"/>
                <w:b/>
                <w:sz w:val="20"/>
                <w:szCs w:val="20"/>
                <w:lang w:val="en-US"/>
              </w:rPr>
              <w:t xml:space="preserve"> C</w:t>
            </w:r>
            <w:r w:rsidRPr="00F97F06">
              <w:rPr>
                <w:rFonts w:ascii="Georgia" w:hAnsi="Georgia"/>
                <w:b/>
                <w:sz w:val="20"/>
                <w:szCs w:val="20"/>
                <w:lang w:val="en-US"/>
              </w:rPr>
              <w:t>ore</w:t>
            </w:r>
            <w:r w:rsidR="002F404C">
              <w:rPr>
                <w:rFonts w:ascii="Georgia" w:hAnsi="Georgia"/>
                <w:b/>
                <w:sz w:val="20"/>
                <w:szCs w:val="20"/>
                <w:lang w:val="en-US"/>
              </w:rPr>
              <w:t xml:space="preserve"> assessment</w:t>
            </w:r>
          </w:p>
        </w:tc>
        <w:tc>
          <w:tcPr>
            <w:tcW w:w="3855" w:type="dxa"/>
          </w:tcPr>
          <w:p w:rsidR="00F97F06" w:rsidRPr="00F97F06" w:rsidRDefault="00F97F06" w:rsidP="00FA2F9A">
            <w:pPr>
              <w:spacing w:line="260" w:lineRule="atLeast"/>
              <w:rPr>
                <w:rFonts w:ascii="Georgia" w:hAnsi="Georgia"/>
                <w:b/>
                <w:sz w:val="20"/>
                <w:szCs w:val="20"/>
                <w:lang w:val="en-US"/>
              </w:rPr>
            </w:pPr>
            <w:r w:rsidRPr="00F97F06">
              <w:rPr>
                <w:rFonts w:ascii="Georgia" w:hAnsi="Georgia"/>
                <w:b/>
                <w:sz w:val="20"/>
                <w:szCs w:val="20"/>
                <w:lang w:val="en-US"/>
              </w:rPr>
              <w:t>Denmark</w:t>
            </w:r>
          </w:p>
        </w:tc>
      </w:tr>
      <w:tr w:rsidR="0028041D" w:rsidRPr="00F95741" w:rsidTr="00DC12D9">
        <w:tc>
          <w:tcPr>
            <w:tcW w:w="1871" w:type="dxa"/>
            <w:tcBorders>
              <w:bottom w:val="nil"/>
            </w:tcBorders>
          </w:tcPr>
          <w:p w:rsidR="00F97F06" w:rsidRDefault="00F97F06" w:rsidP="00FA2F9A">
            <w:pPr>
              <w:spacing w:line="260" w:lineRule="atLeast"/>
              <w:rPr>
                <w:rFonts w:ascii="Georgia" w:hAnsi="Georgia"/>
                <w:sz w:val="20"/>
                <w:szCs w:val="20"/>
                <w:lang w:val="en-US"/>
              </w:rPr>
            </w:pPr>
            <w:r>
              <w:rPr>
                <w:rFonts w:ascii="Georgia" w:hAnsi="Georgia"/>
                <w:sz w:val="20"/>
                <w:szCs w:val="20"/>
                <w:lang w:val="en-US"/>
              </w:rPr>
              <w:t>Endpoints</w:t>
            </w:r>
          </w:p>
        </w:tc>
        <w:tc>
          <w:tcPr>
            <w:tcW w:w="3855" w:type="dxa"/>
          </w:tcPr>
          <w:p w:rsidR="003B50C7" w:rsidRDefault="00A142BB" w:rsidP="003B50C7">
            <w:pPr>
              <w:spacing w:after="20" w:line="260" w:lineRule="atLeast"/>
              <w:rPr>
                <w:rFonts w:ascii="Georgia" w:hAnsi="Georgia"/>
                <w:sz w:val="20"/>
                <w:szCs w:val="20"/>
                <w:lang w:val="en-US"/>
              </w:rPr>
            </w:pPr>
            <w:r w:rsidRPr="00A142BB">
              <w:rPr>
                <w:rFonts w:ascii="Georgia" w:hAnsi="Georgia"/>
                <w:sz w:val="20"/>
                <w:szCs w:val="20"/>
                <w:u w:val="single"/>
                <w:lang w:val="en-US"/>
              </w:rPr>
              <w:t>Acute LD50</w:t>
            </w:r>
            <w:r w:rsidR="0028041D">
              <w:rPr>
                <w:rFonts w:ascii="Georgia" w:hAnsi="Georgia"/>
                <w:sz w:val="20"/>
                <w:szCs w:val="20"/>
                <w:u w:val="single"/>
                <w:lang w:val="en-US"/>
              </w:rPr>
              <w:t xml:space="preserve"> (birds and mammals)</w:t>
            </w:r>
            <w:r>
              <w:rPr>
                <w:rFonts w:ascii="Georgia" w:hAnsi="Georgia"/>
                <w:sz w:val="20"/>
                <w:szCs w:val="20"/>
                <w:lang w:val="en-US"/>
              </w:rPr>
              <w:t xml:space="preserve">: </w:t>
            </w:r>
          </w:p>
          <w:p w:rsidR="00A142BB" w:rsidRDefault="00A142BB" w:rsidP="00DC12D9">
            <w:pPr>
              <w:spacing w:after="120" w:line="260" w:lineRule="atLeast"/>
              <w:rPr>
                <w:rFonts w:ascii="Georgia" w:hAnsi="Georgia"/>
                <w:sz w:val="20"/>
                <w:szCs w:val="20"/>
                <w:lang w:val="en-US"/>
              </w:rPr>
            </w:pPr>
            <w:r>
              <w:rPr>
                <w:rFonts w:ascii="Georgia" w:hAnsi="Georgia"/>
                <w:sz w:val="20"/>
                <w:szCs w:val="20"/>
                <w:lang w:val="en-US"/>
              </w:rPr>
              <w:t>Geometric mean approach is accepted</w:t>
            </w:r>
            <w:r w:rsidR="002F404C">
              <w:rPr>
                <w:rFonts w:ascii="Georgia" w:hAnsi="Georgia"/>
                <w:sz w:val="20"/>
                <w:szCs w:val="20"/>
                <w:lang w:val="en-US"/>
              </w:rPr>
              <w:t>, cf. EFSA (2009) section 2.4.1</w:t>
            </w:r>
          </w:p>
        </w:tc>
        <w:tc>
          <w:tcPr>
            <w:tcW w:w="3855" w:type="dxa"/>
          </w:tcPr>
          <w:p w:rsidR="003B50C7" w:rsidRDefault="00A142BB" w:rsidP="003B50C7">
            <w:pPr>
              <w:spacing w:after="20" w:line="260" w:lineRule="atLeast"/>
              <w:rPr>
                <w:rFonts w:ascii="Georgia" w:hAnsi="Georgia"/>
                <w:sz w:val="20"/>
                <w:szCs w:val="20"/>
                <w:lang w:val="en-US"/>
              </w:rPr>
            </w:pPr>
            <w:r w:rsidRPr="00A142BB">
              <w:rPr>
                <w:rFonts w:ascii="Georgia" w:hAnsi="Georgia"/>
                <w:sz w:val="20"/>
                <w:szCs w:val="20"/>
                <w:u w:val="single"/>
                <w:lang w:val="en-US"/>
              </w:rPr>
              <w:t>Acute LD50</w:t>
            </w:r>
            <w:r w:rsidR="0028041D">
              <w:rPr>
                <w:rFonts w:ascii="Georgia" w:hAnsi="Georgia"/>
                <w:sz w:val="20"/>
                <w:szCs w:val="20"/>
                <w:u w:val="single"/>
                <w:lang w:val="en-US"/>
              </w:rPr>
              <w:t xml:space="preserve"> (birds and mammals)</w:t>
            </w:r>
            <w:r>
              <w:rPr>
                <w:rFonts w:ascii="Georgia" w:hAnsi="Georgia"/>
                <w:sz w:val="20"/>
                <w:szCs w:val="20"/>
                <w:lang w:val="en-US"/>
              </w:rPr>
              <w:t xml:space="preserve">: </w:t>
            </w:r>
          </w:p>
          <w:p w:rsidR="00F97F06" w:rsidRDefault="00A142BB" w:rsidP="00DC12D9">
            <w:pPr>
              <w:spacing w:after="120" w:line="260" w:lineRule="atLeast"/>
              <w:rPr>
                <w:rFonts w:ascii="Georgia" w:hAnsi="Georgia"/>
                <w:sz w:val="20"/>
                <w:szCs w:val="20"/>
                <w:lang w:val="en-US"/>
              </w:rPr>
            </w:pPr>
            <w:r>
              <w:rPr>
                <w:rFonts w:ascii="Georgia" w:hAnsi="Georgia"/>
                <w:sz w:val="20"/>
                <w:szCs w:val="20"/>
                <w:lang w:val="en-US"/>
              </w:rPr>
              <w:t xml:space="preserve">Geometric mean approach is </w:t>
            </w:r>
            <w:r w:rsidRPr="00A142BB">
              <w:rPr>
                <w:rFonts w:ascii="Georgia" w:hAnsi="Georgia"/>
                <w:sz w:val="20"/>
                <w:szCs w:val="20"/>
                <w:u w:val="single"/>
                <w:lang w:val="en-US"/>
              </w:rPr>
              <w:t>not</w:t>
            </w:r>
            <w:r>
              <w:rPr>
                <w:rFonts w:ascii="Georgia" w:hAnsi="Georgia"/>
                <w:sz w:val="20"/>
                <w:szCs w:val="20"/>
                <w:lang w:val="en-US"/>
              </w:rPr>
              <w:t xml:space="preserve"> accepted; worst case LD50 is used</w:t>
            </w:r>
            <w:r w:rsidR="002F715A">
              <w:rPr>
                <w:rFonts w:ascii="Georgia" w:hAnsi="Georgia"/>
                <w:sz w:val="20"/>
                <w:szCs w:val="20"/>
                <w:lang w:val="en-US"/>
              </w:rPr>
              <w:t>*</w:t>
            </w:r>
          </w:p>
        </w:tc>
      </w:tr>
      <w:tr w:rsidR="00DC12D9" w:rsidRPr="00F95741" w:rsidTr="00DC12D9">
        <w:tc>
          <w:tcPr>
            <w:tcW w:w="1871" w:type="dxa"/>
            <w:tcBorders>
              <w:top w:val="nil"/>
            </w:tcBorders>
          </w:tcPr>
          <w:p w:rsidR="00DC12D9" w:rsidRDefault="00DC12D9" w:rsidP="00FA2F9A">
            <w:pPr>
              <w:spacing w:line="260" w:lineRule="atLeast"/>
              <w:rPr>
                <w:rFonts w:ascii="Georgia" w:hAnsi="Georgia"/>
                <w:sz w:val="20"/>
                <w:szCs w:val="20"/>
                <w:lang w:val="en-US"/>
              </w:rPr>
            </w:pPr>
          </w:p>
        </w:tc>
        <w:tc>
          <w:tcPr>
            <w:tcW w:w="3855" w:type="dxa"/>
          </w:tcPr>
          <w:p w:rsidR="003B50C7" w:rsidRDefault="00DC12D9" w:rsidP="003B50C7">
            <w:pPr>
              <w:spacing w:after="20" w:line="260" w:lineRule="atLeast"/>
              <w:rPr>
                <w:rFonts w:ascii="Georgia" w:hAnsi="Georgia"/>
                <w:sz w:val="20"/>
                <w:szCs w:val="20"/>
                <w:lang w:val="en-US"/>
              </w:rPr>
            </w:pPr>
            <w:r w:rsidRPr="0028041D">
              <w:rPr>
                <w:rFonts w:ascii="Georgia" w:hAnsi="Georgia"/>
                <w:sz w:val="20"/>
                <w:szCs w:val="20"/>
                <w:u w:val="single"/>
                <w:lang w:val="en-US"/>
              </w:rPr>
              <w:t>Reproductive endpoint (birds)</w:t>
            </w:r>
            <w:r>
              <w:rPr>
                <w:rFonts w:ascii="Georgia" w:hAnsi="Georgia"/>
                <w:sz w:val="20"/>
                <w:szCs w:val="20"/>
                <w:lang w:val="en-US"/>
              </w:rPr>
              <w:t>:</w:t>
            </w:r>
          </w:p>
          <w:p w:rsidR="00DC12D9" w:rsidRPr="00A142BB" w:rsidRDefault="00DC12D9" w:rsidP="00DC12D9">
            <w:pPr>
              <w:spacing w:line="260" w:lineRule="atLeast"/>
              <w:rPr>
                <w:rFonts w:ascii="Georgia" w:hAnsi="Georgia"/>
                <w:sz w:val="20"/>
                <w:szCs w:val="20"/>
                <w:u w:val="single"/>
                <w:lang w:val="en-US"/>
              </w:rPr>
            </w:pPr>
            <w:r>
              <w:rPr>
                <w:rFonts w:ascii="Georgia" w:hAnsi="Georgia"/>
                <w:sz w:val="20"/>
                <w:szCs w:val="20"/>
                <w:lang w:val="en-US"/>
              </w:rPr>
              <w:t>Geometric mean LD50/10 is used if lower than NOAEL</w:t>
            </w:r>
          </w:p>
        </w:tc>
        <w:tc>
          <w:tcPr>
            <w:tcW w:w="3855" w:type="dxa"/>
          </w:tcPr>
          <w:p w:rsidR="00DC12D9" w:rsidRDefault="00DC12D9" w:rsidP="003B50C7">
            <w:pPr>
              <w:spacing w:after="20" w:line="260" w:lineRule="atLeast"/>
              <w:rPr>
                <w:rFonts w:ascii="Georgia" w:hAnsi="Georgia"/>
                <w:sz w:val="20"/>
                <w:szCs w:val="20"/>
                <w:lang w:val="en-US"/>
              </w:rPr>
            </w:pPr>
            <w:r w:rsidRPr="0028041D">
              <w:rPr>
                <w:rFonts w:ascii="Georgia" w:hAnsi="Georgia"/>
                <w:sz w:val="20"/>
                <w:szCs w:val="20"/>
                <w:u w:val="single"/>
                <w:lang w:val="en-US"/>
              </w:rPr>
              <w:t>Reproductive endpoint (birds)</w:t>
            </w:r>
            <w:r>
              <w:rPr>
                <w:rFonts w:ascii="Georgia" w:hAnsi="Georgia"/>
                <w:sz w:val="20"/>
                <w:szCs w:val="20"/>
                <w:lang w:val="en-US"/>
              </w:rPr>
              <w:t>:</w:t>
            </w:r>
          </w:p>
          <w:p w:rsidR="00DC12D9" w:rsidRPr="00A142BB" w:rsidRDefault="00DC12D9" w:rsidP="00DC12D9">
            <w:pPr>
              <w:spacing w:after="60" w:line="260" w:lineRule="atLeast"/>
              <w:rPr>
                <w:rFonts w:ascii="Georgia" w:hAnsi="Georgia"/>
                <w:sz w:val="20"/>
                <w:szCs w:val="20"/>
                <w:u w:val="single"/>
                <w:lang w:val="en-US"/>
              </w:rPr>
            </w:pPr>
            <w:r>
              <w:rPr>
                <w:rFonts w:ascii="Georgia" w:hAnsi="Georgia"/>
                <w:sz w:val="20"/>
                <w:szCs w:val="20"/>
                <w:lang w:val="en-US"/>
              </w:rPr>
              <w:t>Geometric mean LD50/10 is used if lower than</w:t>
            </w:r>
            <w:r w:rsidR="00FA253C">
              <w:rPr>
                <w:rFonts w:ascii="Georgia" w:hAnsi="Georgia"/>
                <w:sz w:val="20"/>
                <w:szCs w:val="20"/>
                <w:lang w:val="en-US"/>
              </w:rPr>
              <w:t xml:space="preserve"> NOAEL (i.e. no deviation from C</w:t>
            </w:r>
            <w:r>
              <w:rPr>
                <w:rFonts w:ascii="Georgia" w:hAnsi="Georgia"/>
                <w:sz w:val="20"/>
                <w:szCs w:val="20"/>
                <w:lang w:val="en-US"/>
              </w:rPr>
              <w:t>ore assessment)</w:t>
            </w:r>
          </w:p>
        </w:tc>
      </w:tr>
    </w:tbl>
    <w:p w:rsidR="007E0E1B" w:rsidRPr="002F715A" w:rsidRDefault="002F715A" w:rsidP="00FA2F9A">
      <w:pPr>
        <w:spacing w:after="0" w:line="260" w:lineRule="atLeast"/>
        <w:rPr>
          <w:rFonts w:ascii="Georgia" w:hAnsi="Georgia"/>
          <w:sz w:val="18"/>
          <w:szCs w:val="18"/>
          <w:lang w:val="en-US"/>
        </w:rPr>
      </w:pPr>
      <w:r w:rsidRPr="002F715A">
        <w:rPr>
          <w:rFonts w:ascii="Georgia" w:hAnsi="Georgia"/>
          <w:sz w:val="18"/>
          <w:szCs w:val="18"/>
          <w:lang w:val="en-US"/>
        </w:rPr>
        <w:t xml:space="preserve">* Cf. </w:t>
      </w:r>
      <w:r>
        <w:rPr>
          <w:rFonts w:ascii="Georgia" w:hAnsi="Georgia"/>
          <w:sz w:val="18"/>
          <w:szCs w:val="18"/>
          <w:lang w:val="en-US"/>
        </w:rPr>
        <w:t>F</w:t>
      </w:r>
      <w:r w:rsidRPr="002F715A">
        <w:rPr>
          <w:rFonts w:ascii="Georgia" w:hAnsi="Georgia"/>
          <w:sz w:val="18"/>
          <w:szCs w:val="18"/>
          <w:lang w:val="en-US"/>
        </w:rPr>
        <w:t>ootnote 9 in the Guidance Document on work-sharing</w:t>
      </w:r>
    </w:p>
    <w:p w:rsidR="007E0E1B" w:rsidRDefault="007E0E1B" w:rsidP="00FA2F9A">
      <w:pPr>
        <w:spacing w:after="0" w:line="260" w:lineRule="atLeast"/>
        <w:rPr>
          <w:rFonts w:ascii="Georgia" w:hAnsi="Georgia"/>
          <w:sz w:val="20"/>
          <w:szCs w:val="20"/>
          <w:lang w:val="en-US"/>
        </w:rPr>
      </w:pPr>
    </w:p>
    <w:p w:rsidR="002F404C" w:rsidRDefault="002F404C" w:rsidP="002F404C">
      <w:pPr>
        <w:spacing w:after="0" w:line="260" w:lineRule="atLeast"/>
        <w:rPr>
          <w:rFonts w:ascii="Georgia" w:hAnsi="Georgia"/>
          <w:b/>
          <w:sz w:val="20"/>
          <w:szCs w:val="20"/>
          <w:lang w:val="en-US"/>
        </w:rPr>
      </w:pPr>
    </w:p>
    <w:p w:rsidR="002F404C" w:rsidRDefault="002F404C" w:rsidP="002F404C">
      <w:pPr>
        <w:spacing w:after="0" w:line="260" w:lineRule="atLeast"/>
        <w:rPr>
          <w:rFonts w:ascii="Georgia" w:hAnsi="Georgia"/>
          <w:b/>
          <w:sz w:val="20"/>
          <w:szCs w:val="20"/>
          <w:lang w:val="en-US"/>
        </w:rPr>
      </w:pPr>
      <w:r w:rsidRPr="007E0E1B">
        <w:rPr>
          <w:rFonts w:ascii="Georgia" w:hAnsi="Georgia"/>
          <w:b/>
          <w:sz w:val="20"/>
          <w:szCs w:val="20"/>
          <w:lang w:val="en-US"/>
        </w:rPr>
        <w:t xml:space="preserve">Summary of </w:t>
      </w:r>
      <w:r>
        <w:rPr>
          <w:rFonts w:ascii="Georgia" w:hAnsi="Georgia"/>
          <w:b/>
          <w:sz w:val="20"/>
          <w:szCs w:val="20"/>
          <w:lang w:val="en-US"/>
        </w:rPr>
        <w:t>Danish</w:t>
      </w:r>
      <w:r w:rsidRPr="007E0E1B">
        <w:rPr>
          <w:rFonts w:ascii="Georgia" w:hAnsi="Georgia"/>
          <w:b/>
          <w:sz w:val="20"/>
          <w:szCs w:val="20"/>
          <w:lang w:val="en-US"/>
        </w:rPr>
        <w:t xml:space="preserve"> refinement options</w:t>
      </w:r>
    </w:p>
    <w:p w:rsidR="005F0B98" w:rsidRPr="00DA1355" w:rsidRDefault="005F0B98" w:rsidP="002F404C">
      <w:pPr>
        <w:spacing w:after="0" w:line="260" w:lineRule="atLeast"/>
        <w:rPr>
          <w:rFonts w:ascii="Georgia" w:hAnsi="Georgia"/>
          <w:sz w:val="20"/>
          <w:szCs w:val="20"/>
          <w:lang w:val="en-US"/>
        </w:rPr>
      </w:pPr>
      <w:r w:rsidRPr="00DA1355">
        <w:rPr>
          <w:rFonts w:ascii="Georgia" w:hAnsi="Georgia"/>
          <w:sz w:val="20"/>
          <w:szCs w:val="20"/>
          <w:lang w:val="en-US"/>
        </w:rPr>
        <w:t>(NZ GD = Northern Zone Guidance Document</w:t>
      </w:r>
      <w:r w:rsidR="00DA1355">
        <w:rPr>
          <w:rFonts w:ascii="Georgia" w:hAnsi="Georgia"/>
          <w:sz w:val="20"/>
          <w:szCs w:val="20"/>
          <w:lang w:val="en-US"/>
        </w:rPr>
        <w:t xml:space="preserve"> </w:t>
      </w:r>
      <w:r w:rsidR="00DA1355" w:rsidRPr="00DA1355">
        <w:rPr>
          <w:rFonts w:ascii="Georgia" w:hAnsi="Georgia"/>
          <w:sz w:val="20"/>
          <w:szCs w:val="20"/>
          <w:lang w:val="en-US"/>
        </w:rPr>
        <w:t>“Pesticide Risk Assessment for Birds and Mammals</w:t>
      </w:r>
      <w:r w:rsidR="00DA1355">
        <w:rPr>
          <w:rFonts w:ascii="Georgia" w:hAnsi="Georgia"/>
          <w:sz w:val="20"/>
          <w:szCs w:val="20"/>
          <w:lang w:val="en-US"/>
        </w:rPr>
        <w:t>”</w:t>
      </w:r>
      <w:r w:rsidR="00DA1355" w:rsidRPr="00DA1355">
        <w:rPr>
          <w:rFonts w:ascii="Georgia" w:hAnsi="Georgia"/>
          <w:sz w:val="20"/>
          <w:szCs w:val="20"/>
          <w:lang w:val="en-US"/>
        </w:rPr>
        <w:t>)</w:t>
      </w:r>
    </w:p>
    <w:p w:rsidR="002F404C" w:rsidRDefault="002F404C" w:rsidP="002F404C">
      <w:pPr>
        <w:spacing w:after="0" w:line="260" w:lineRule="atLeast"/>
        <w:rPr>
          <w:rFonts w:ascii="Georgia" w:hAnsi="Georgia"/>
          <w:b/>
          <w:sz w:val="20"/>
          <w:szCs w:val="20"/>
          <w:lang w:val="en-US"/>
        </w:rPr>
      </w:pPr>
    </w:p>
    <w:tbl>
      <w:tblPr>
        <w:tblStyle w:val="Tabel-Gitter"/>
        <w:tblW w:w="0" w:type="auto"/>
        <w:tblInd w:w="113" w:type="dxa"/>
        <w:tblLook w:val="04A0" w:firstRow="1" w:lastRow="0" w:firstColumn="1" w:lastColumn="0" w:noHBand="0" w:noVBand="1"/>
      </w:tblPr>
      <w:tblGrid>
        <w:gridCol w:w="1871"/>
        <w:gridCol w:w="3855"/>
        <w:gridCol w:w="3855"/>
      </w:tblGrid>
      <w:tr w:rsidR="00DC12D9" w:rsidTr="003B50C7">
        <w:trPr>
          <w:trHeight w:val="283"/>
        </w:trPr>
        <w:tc>
          <w:tcPr>
            <w:tcW w:w="1871" w:type="dxa"/>
          </w:tcPr>
          <w:p w:rsidR="002F404C" w:rsidRDefault="002F404C" w:rsidP="00FF2ADD">
            <w:pPr>
              <w:spacing w:line="260" w:lineRule="atLeast"/>
              <w:rPr>
                <w:rFonts w:ascii="Georgia" w:hAnsi="Georgia"/>
                <w:sz w:val="20"/>
                <w:szCs w:val="20"/>
                <w:lang w:val="en-US"/>
              </w:rPr>
            </w:pPr>
          </w:p>
        </w:tc>
        <w:tc>
          <w:tcPr>
            <w:tcW w:w="3855" w:type="dxa"/>
          </w:tcPr>
          <w:p w:rsidR="002F404C" w:rsidRPr="00F97F06" w:rsidRDefault="002F404C" w:rsidP="00FF2ADD">
            <w:pPr>
              <w:spacing w:line="260" w:lineRule="atLeast"/>
              <w:rPr>
                <w:rFonts w:ascii="Georgia" w:hAnsi="Georgia"/>
                <w:b/>
                <w:sz w:val="20"/>
                <w:szCs w:val="20"/>
                <w:lang w:val="en-US"/>
              </w:rPr>
            </w:pPr>
            <w:r w:rsidRPr="00F97F06">
              <w:rPr>
                <w:rFonts w:ascii="Georgia" w:hAnsi="Georgia"/>
                <w:b/>
                <w:sz w:val="20"/>
                <w:szCs w:val="20"/>
                <w:lang w:val="en-US"/>
              </w:rPr>
              <w:t>Northern Zone</w:t>
            </w:r>
            <w:r w:rsidR="00FA253C">
              <w:rPr>
                <w:rFonts w:ascii="Georgia" w:hAnsi="Georgia"/>
                <w:b/>
                <w:sz w:val="20"/>
                <w:szCs w:val="20"/>
                <w:lang w:val="en-US"/>
              </w:rPr>
              <w:t xml:space="preserve"> C</w:t>
            </w:r>
            <w:r w:rsidRPr="00F97F06">
              <w:rPr>
                <w:rFonts w:ascii="Georgia" w:hAnsi="Georgia"/>
                <w:b/>
                <w:sz w:val="20"/>
                <w:szCs w:val="20"/>
                <w:lang w:val="en-US"/>
              </w:rPr>
              <w:t>ore</w:t>
            </w:r>
            <w:r>
              <w:rPr>
                <w:rFonts w:ascii="Georgia" w:hAnsi="Georgia"/>
                <w:b/>
                <w:sz w:val="20"/>
                <w:szCs w:val="20"/>
                <w:lang w:val="en-US"/>
              </w:rPr>
              <w:t xml:space="preserve"> assessment</w:t>
            </w:r>
          </w:p>
        </w:tc>
        <w:tc>
          <w:tcPr>
            <w:tcW w:w="3855" w:type="dxa"/>
          </w:tcPr>
          <w:p w:rsidR="002F404C" w:rsidRPr="00F97F06" w:rsidRDefault="002F404C" w:rsidP="00FF2ADD">
            <w:pPr>
              <w:spacing w:line="260" w:lineRule="atLeast"/>
              <w:rPr>
                <w:rFonts w:ascii="Georgia" w:hAnsi="Georgia"/>
                <w:b/>
                <w:sz w:val="20"/>
                <w:szCs w:val="20"/>
                <w:lang w:val="en-US"/>
              </w:rPr>
            </w:pPr>
            <w:r w:rsidRPr="00F97F06">
              <w:rPr>
                <w:rFonts w:ascii="Georgia" w:hAnsi="Georgia"/>
                <w:b/>
                <w:sz w:val="20"/>
                <w:szCs w:val="20"/>
                <w:lang w:val="en-US"/>
              </w:rPr>
              <w:t>Denmark</w:t>
            </w:r>
          </w:p>
        </w:tc>
      </w:tr>
      <w:tr w:rsidR="009407A2" w:rsidRPr="00F95741" w:rsidTr="0087583C">
        <w:tc>
          <w:tcPr>
            <w:tcW w:w="1871" w:type="dxa"/>
            <w:tcBorders>
              <w:bottom w:val="single" w:sz="4" w:space="0" w:color="auto"/>
            </w:tcBorders>
          </w:tcPr>
          <w:p w:rsidR="009407A2" w:rsidRPr="009407A2" w:rsidRDefault="009407A2" w:rsidP="00FF2ADD">
            <w:pPr>
              <w:spacing w:line="260" w:lineRule="atLeast"/>
              <w:rPr>
                <w:rFonts w:ascii="Georgia" w:hAnsi="Georgia"/>
                <w:sz w:val="20"/>
                <w:szCs w:val="20"/>
                <w:lang w:val="en-US"/>
              </w:rPr>
            </w:pPr>
            <w:r w:rsidRPr="009407A2">
              <w:rPr>
                <w:rFonts w:ascii="Georgia" w:hAnsi="Georgia"/>
                <w:sz w:val="20"/>
                <w:szCs w:val="20"/>
                <w:lang w:val="en-US"/>
              </w:rPr>
              <w:t>Pelleted beet seeds</w:t>
            </w:r>
          </w:p>
        </w:tc>
        <w:tc>
          <w:tcPr>
            <w:tcW w:w="3855" w:type="dxa"/>
          </w:tcPr>
          <w:p w:rsidR="009407A2" w:rsidRPr="00D04072" w:rsidRDefault="009407A2" w:rsidP="00FF2ADD">
            <w:pPr>
              <w:spacing w:line="260" w:lineRule="atLeast"/>
              <w:rPr>
                <w:rFonts w:ascii="Georgia" w:hAnsi="Georgia"/>
                <w:sz w:val="20"/>
                <w:szCs w:val="20"/>
                <w:lang w:val="en-US"/>
              </w:rPr>
            </w:pPr>
            <w:r w:rsidRPr="00D04072">
              <w:rPr>
                <w:rFonts w:ascii="Georgia" w:hAnsi="Georgia"/>
                <w:sz w:val="20"/>
                <w:szCs w:val="20"/>
                <w:lang w:val="en-US"/>
              </w:rPr>
              <w:t>Follows EFSA GD for birds and mammals risk assessment (only relevant for birds as mammals eating pelleted beet seeds (wood mouse) crack and discard the pellet with most of the residue before ingesting the seed</w:t>
            </w:r>
          </w:p>
        </w:tc>
        <w:tc>
          <w:tcPr>
            <w:tcW w:w="3855" w:type="dxa"/>
          </w:tcPr>
          <w:p w:rsidR="009407A2" w:rsidRPr="009407A2" w:rsidRDefault="009407A2" w:rsidP="001550B4">
            <w:pPr>
              <w:spacing w:after="120" w:line="260" w:lineRule="atLeast"/>
              <w:rPr>
                <w:rFonts w:ascii="Georgia" w:hAnsi="Georgia"/>
                <w:sz w:val="20"/>
                <w:szCs w:val="20"/>
                <w:lang w:val="en-US"/>
              </w:rPr>
            </w:pPr>
            <w:r w:rsidRPr="009407A2">
              <w:rPr>
                <w:rFonts w:ascii="Georgia" w:hAnsi="Georgia"/>
                <w:sz w:val="20"/>
                <w:szCs w:val="20"/>
                <w:lang w:val="en-US"/>
              </w:rPr>
              <w:t>Sowing of pelleted sugar beet and fodder beet seeds is carried out with special sowing equipment that sows the seed in the soil with a band. In this way seeds are sown precisely at a specific depth and at a specific distance from one another. The Danish Environmental Protection Agency finds that there is no exposure to wild birds and mammals for this use</w:t>
            </w:r>
          </w:p>
        </w:tc>
      </w:tr>
      <w:tr w:rsidR="009407A2" w:rsidRPr="00F95741" w:rsidTr="0087583C">
        <w:tc>
          <w:tcPr>
            <w:tcW w:w="1871" w:type="dxa"/>
            <w:tcBorders>
              <w:bottom w:val="single" w:sz="4" w:space="0" w:color="auto"/>
            </w:tcBorders>
          </w:tcPr>
          <w:p w:rsidR="009407A2" w:rsidRDefault="009407A2" w:rsidP="00FF2ADD">
            <w:pPr>
              <w:spacing w:line="260" w:lineRule="atLeast"/>
              <w:rPr>
                <w:rFonts w:ascii="Georgia" w:hAnsi="Georgia"/>
                <w:sz w:val="20"/>
                <w:szCs w:val="20"/>
                <w:lang w:val="en-US"/>
              </w:rPr>
            </w:pPr>
            <w:r>
              <w:rPr>
                <w:rFonts w:ascii="Georgia" w:hAnsi="Georgia"/>
                <w:sz w:val="20"/>
                <w:szCs w:val="20"/>
                <w:lang w:val="en-US"/>
              </w:rPr>
              <w:t>Focal species</w:t>
            </w:r>
          </w:p>
        </w:tc>
        <w:tc>
          <w:tcPr>
            <w:tcW w:w="3855" w:type="dxa"/>
          </w:tcPr>
          <w:p w:rsidR="009407A2" w:rsidRDefault="009407A2" w:rsidP="00FF2ADD">
            <w:pPr>
              <w:spacing w:line="260" w:lineRule="atLeast"/>
              <w:rPr>
                <w:rFonts w:ascii="Georgia" w:hAnsi="Georgia"/>
                <w:sz w:val="20"/>
                <w:szCs w:val="20"/>
                <w:lang w:val="en-US"/>
              </w:rPr>
            </w:pPr>
            <w:r w:rsidRPr="002F715A">
              <w:rPr>
                <w:rFonts w:ascii="Georgia" w:hAnsi="Georgia"/>
                <w:sz w:val="20"/>
                <w:szCs w:val="20"/>
                <w:u w:val="single"/>
                <w:lang w:val="en-US"/>
              </w:rPr>
              <w:t xml:space="preserve">Whinchat </w:t>
            </w:r>
            <w:proofErr w:type="spellStart"/>
            <w:r w:rsidRPr="002F715A">
              <w:rPr>
                <w:rFonts w:ascii="Georgia" w:hAnsi="Georgia"/>
                <w:i/>
                <w:sz w:val="20"/>
                <w:szCs w:val="20"/>
                <w:u w:val="single"/>
                <w:lang w:val="en-US"/>
              </w:rPr>
              <w:t>Saxicola</w:t>
            </w:r>
            <w:proofErr w:type="spellEnd"/>
            <w:r w:rsidRPr="002F715A">
              <w:rPr>
                <w:rFonts w:ascii="Georgia" w:hAnsi="Georgia"/>
                <w:i/>
                <w:sz w:val="20"/>
                <w:szCs w:val="20"/>
                <w:u w:val="single"/>
                <w:lang w:val="en-US"/>
              </w:rPr>
              <w:t xml:space="preserve"> </w:t>
            </w:r>
            <w:proofErr w:type="spellStart"/>
            <w:r w:rsidRPr="002F715A">
              <w:rPr>
                <w:rFonts w:ascii="Georgia" w:hAnsi="Georgia"/>
                <w:i/>
                <w:sz w:val="20"/>
                <w:szCs w:val="20"/>
                <w:u w:val="single"/>
                <w:lang w:val="en-US"/>
              </w:rPr>
              <w:t>rubetra</w:t>
            </w:r>
            <w:proofErr w:type="spellEnd"/>
            <w:r>
              <w:rPr>
                <w:rFonts w:ascii="Georgia" w:hAnsi="Georgia"/>
                <w:sz w:val="20"/>
                <w:szCs w:val="20"/>
                <w:lang w:val="en-US"/>
              </w:rPr>
              <w:t>:</w:t>
            </w:r>
          </w:p>
          <w:p w:rsidR="009407A2" w:rsidRDefault="009407A2" w:rsidP="00143EB6">
            <w:pPr>
              <w:spacing w:after="120" w:line="260" w:lineRule="atLeast"/>
              <w:rPr>
                <w:rFonts w:ascii="Georgia" w:hAnsi="Georgia"/>
                <w:sz w:val="20"/>
                <w:szCs w:val="20"/>
                <w:lang w:val="en-US"/>
              </w:rPr>
            </w:pPr>
            <w:r>
              <w:rPr>
                <w:rFonts w:ascii="Georgia" w:hAnsi="Georgia"/>
                <w:sz w:val="20"/>
                <w:szCs w:val="20"/>
                <w:lang w:val="en-US"/>
              </w:rPr>
              <w:t>Focal species in cereals (BBCH 40-89 and pre-harvest desiccation)</w:t>
            </w:r>
          </w:p>
          <w:p w:rsidR="009407A2" w:rsidRDefault="009407A2" w:rsidP="00FF2ADD">
            <w:pPr>
              <w:spacing w:line="260" w:lineRule="atLeast"/>
              <w:rPr>
                <w:rFonts w:ascii="Georgia" w:hAnsi="Georgia"/>
                <w:sz w:val="20"/>
                <w:szCs w:val="20"/>
                <w:lang w:val="en-US"/>
              </w:rPr>
            </w:pPr>
            <w:r w:rsidRPr="002F715A">
              <w:rPr>
                <w:rFonts w:ascii="Georgia" w:hAnsi="Georgia"/>
                <w:sz w:val="20"/>
                <w:szCs w:val="20"/>
                <w:u w:val="single"/>
                <w:lang w:val="en-US"/>
              </w:rPr>
              <w:t xml:space="preserve">Willow warbler </w:t>
            </w:r>
            <w:proofErr w:type="spellStart"/>
            <w:r w:rsidRPr="002F715A">
              <w:rPr>
                <w:rFonts w:ascii="Georgia" w:hAnsi="Georgia"/>
                <w:i/>
                <w:sz w:val="20"/>
                <w:szCs w:val="20"/>
                <w:u w:val="single"/>
                <w:lang w:val="en-US"/>
              </w:rPr>
              <w:t>Phylloscopus</w:t>
            </w:r>
            <w:proofErr w:type="spellEnd"/>
            <w:r w:rsidRPr="002F715A">
              <w:rPr>
                <w:rFonts w:ascii="Georgia" w:hAnsi="Georgia"/>
                <w:i/>
                <w:sz w:val="20"/>
                <w:szCs w:val="20"/>
                <w:u w:val="single"/>
                <w:lang w:val="en-US"/>
              </w:rPr>
              <w:t xml:space="preserve"> </w:t>
            </w:r>
            <w:proofErr w:type="spellStart"/>
            <w:r w:rsidRPr="002F715A">
              <w:rPr>
                <w:rFonts w:ascii="Georgia" w:hAnsi="Georgia"/>
                <w:i/>
                <w:sz w:val="20"/>
                <w:szCs w:val="20"/>
                <w:u w:val="single"/>
                <w:lang w:val="en-US"/>
              </w:rPr>
              <w:t>trochilus</w:t>
            </w:r>
            <w:proofErr w:type="spellEnd"/>
            <w:r>
              <w:rPr>
                <w:rFonts w:ascii="Georgia" w:hAnsi="Georgia"/>
                <w:sz w:val="20"/>
                <w:szCs w:val="20"/>
                <w:lang w:val="en-US"/>
              </w:rPr>
              <w:t>:</w:t>
            </w:r>
          </w:p>
          <w:p w:rsidR="009407A2" w:rsidRDefault="009407A2" w:rsidP="00DC12D9">
            <w:pPr>
              <w:spacing w:after="120" w:line="260" w:lineRule="atLeast"/>
              <w:rPr>
                <w:rFonts w:ascii="Georgia" w:hAnsi="Georgia"/>
                <w:sz w:val="20"/>
                <w:szCs w:val="20"/>
                <w:lang w:val="en-US"/>
              </w:rPr>
            </w:pPr>
            <w:r>
              <w:rPr>
                <w:rFonts w:ascii="Georgia" w:hAnsi="Georgia"/>
                <w:sz w:val="20"/>
                <w:szCs w:val="20"/>
                <w:lang w:val="en-US"/>
              </w:rPr>
              <w:t>Focal species in maize (BBCH 30-39)</w:t>
            </w:r>
          </w:p>
        </w:tc>
        <w:tc>
          <w:tcPr>
            <w:tcW w:w="3855" w:type="dxa"/>
          </w:tcPr>
          <w:p w:rsidR="009407A2" w:rsidRDefault="009407A2" w:rsidP="001550B4">
            <w:pPr>
              <w:spacing w:after="120" w:line="260" w:lineRule="atLeast"/>
              <w:rPr>
                <w:rFonts w:ascii="Georgia" w:hAnsi="Georgia"/>
                <w:sz w:val="20"/>
                <w:szCs w:val="20"/>
                <w:lang w:val="en-US"/>
              </w:rPr>
            </w:pPr>
            <w:r>
              <w:rPr>
                <w:rFonts w:ascii="Georgia" w:hAnsi="Georgia"/>
                <w:sz w:val="20"/>
                <w:szCs w:val="20"/>
                <w:lang w:val="en-US"/>
              </w:rPr>
              <w:t>Whinchat and Willow warbler are not considered relevant focal species in agricultural fields</w:t>
            </w:r>
            <w:r w:rsidRPr="006F0E7B">
              <w:rPr>
                <w:rFonts w:ascii="Georgia" w:hAnsi="Georgia"/>
                <w:sz w:val="20"/>
                <w:szCs w:val="20"/>
                <w:vertAlign w:val="superscript"/>
                <w:lang w:val="en-US"/>
              </w:rPr>
              <w:t xml:space="preserve"> </w:t>
            </w:r>
            <w:r w:rsidRPr="006F0E7B">
              <w:rPr>
                <w:rFonts w:ascii="Times New Roman" w:hAnsi="Times New Roman" w:cs="Times New Roman"/>
                <w:sz w:val="20"/>
                <w:szCs w:val="20"/>
                <w:vertAlign w:val="superscript"/>
                <w:lang w:val="en-US"/>
              </w:rPr>
              <w:t>1</w:t>
            </w:r>
          </w:p>
          <w:p w:rsidR="009407A2" w:rsidRDefault="009407A2" w:rsidP="00DA1355">
            <w:pPr>
              <w:spacing w:after="120" w:line="260" w:lineRule="atLeast"/>
              <w:rPr>
                <w:rFonts w:ascii="Georgia" w:hAnsi="Georgia"/>
                <w:sz w:val="20"/>
                <w:szCs w:val="20"/>
                <w:lang w:val="en-US"/>
              </w:rPr>
            </w:pPr>
            <w:r>
              <w:rPr>
                <w:rFonts w:ascii="Georgia" w:hAnsi="Georgia"/>
                <w:sz w:val="20"/>
                <w:szCs w:val="20"/>
                <w:lang w:val="en-US"/>
              </w:rPr>
              <w:t>For all other focal species, the Summary Tables in chapter 6 of the NZ GD apply</w:t>
            </w:r>
          </w:p>
        </w:tc>
      </w:tr>
      <w:tr w:rsidR="009407A2" w:rsidRPr="00F95741" w:rsidTr="0087583C">
        <w:tc>
          <w:tcPr>
            <w:tcW w:w="1871" w:type="dxa"/>
            <w:tcBorders>
              <w:bottom w:val="nil"/>
            </w:tcBorders>
          </w:tcPr>
          <w:p w:rsidR="009407A2" w:rsidRDefault="009407A2" w:rsidP="00FF2ADD">
            <w:pPr>
              <w:spacing w:line="260" w:lineRule="atLeast"/>
              <w:rPr>
                <w:rFonts w:ascii="Georgia" w:hAnsi="Georgia"/>
                <w:sz w:val="20"/>
                <w:szCs w:val="20"/>
                <w:lang w:val="en-US"/>
              </w:rPr>
            </w:pPr>
            <w:r>
              <w:rPr>
                <w:rFonts w:ascii="Georgia" w:hAnsi="Georgia"/>
                <w:sz w:val="20"/>
                <w:szCs w:val="20"/>
                <w:lang w:val="en-US"/>
              </w:rPr>
              <w:t>Proportion of diet (PD)</w:t>
            </w:r>
          </w:p>
        </w:tc>
        <w:tc>
          <w:tcPr>
            <w:tcW w:w="3855" w:type="dxa"/>
          </w:tcPr>
          <w:p w:rsidR="009407A2" w:rsidRDefault="009407A2" w:rsidP="003B50C7">
            <w:pPr>
              <w:spacing w:after="20" w:line="260" w:lineRule="atLeast"/>
              <w:rPr>
                <w:rFonts w:ascii="Georgia" w:hAnsi="Georgia"/>
                <w:sz w:val="20"/>
                <w:szCs w:val="20"/>
                <w:lang w:val="en-US"/>
              </w:rPr>
            </w:pPr>
            <w:r w:rsidRPr="001550B4">
              <w:rPr>
                <w:rFonts w:ascii="Georgia" w:hAnsi="Georgia"/>
                <w:sz w:val="20"/>
                <w:szCs w:val="20"/>
                <w:u w:val="single"/>
                <w:lang w:val="en-US"/>
              </w:rPr>
              <w:t>Acute risk</w:t>
            </w:r>
            <w:r>
              <w:rPr>
                <w:rFonts w:ascii="Georgia" w:hAnsi="Georgia"/>
                <w:sz w:val="20"/>
                <w:szCs w:val="20"/>
                <w:lang w:val="en-US"/>
              </w:rPr>
              <w:t>:</w:t>
            </w:r>
          </w:p>
          <w:p w:rsidR="009407A2" w:rsidRDefault="009407A2" w:rsidP="00FF2ADD">
            <w:pPr>
              <w:spacing w:line="260" w:lineRule="atLeast"/>
              <w:rPr>
                <w:rFonts w:ascii="Georgia" w:hAnsi="Georgia"/>
                <w:sz w:val="20"/>
                <w:szCs w:val="20"/>
                <w:lang w:val="en-US"/>
              </w:rPr>
            </w:pPr>
            <w:r>
              <w:rPr>
                <w:rFonts w:ascii="Georgia" w:hAnsi="Georgia"/>
                <w:sz w:val="20"/>
                <w:szCs w:val="20"/>
                <w:lang w:val="en-US"/>
              </w:rPr>
              <w:t>No refinement of the Tier 1 diets (EFSA 2009 appendix A) is accepted</w:t>
            </w:r>
          </w:p>
        </w:tc>
        <w:tc>
          <w:tcPr>
            <w:tcW w:w="3855" w:type="dxa"/>
          </w:tcPr>
          <w:p w:rsidR="009407A2" w:rsidRDefault="009407A2" w:rsidP="003B50C7">
            <w:pPr>
              <w:spacing w:after="20" w:line="260" w:lineRule="atLeast"/>
              <w:rPr>
                <w:rFonts w:ascii="Georgia" w:hAnsi="Georgia"/>
                <w:sz w:val="20"/>
                <w:szCs w:val="20"/>
                <w:lang w:val="en-US"/>
              </w:rPr>
            </w:pPr>
            <w:r w:rsidRPr="00395F8E">
              <w:rPr>
                <w:rFonts w:ascii="Georgia" w:hAnsi="Georgia"/>
                <w:sz w:val="20"/>
                <w:szCs w:val="20"/>
                <w:u w:val="single"/>
                <w:lang w:val="en-US"/>
              </w:rPr>
              <w:t>Acute risk</w:t>
            </w:r>
            <w:r>
              <w:rPr>
                <w:rFonts w:ascii="Georgia" w:hAnsi="Georgia"/>
                <w:sz w:val="20"/>
                <w:szCs w:val="20"/>
                <w:lang w:val="en-US"/>
              </w:rPr>
              <w:t>:</w:t>
            </w:r>
          </w:p>
          <w:p w:rsidR="009407A2" w:rsidRDefault="009407A2" w:rsidP="003A3E69">
            <w:pPr>
              <w:spacing w:after="120" w:line="260" w:lineRule="atLeast"/>
              <w:rPr>
                <w:rFonts w:ascii="Georgia" w:hAnsi="Georgia"/>
                <w:sz w:val="20"/>
                <w:szCs w:val="20"/>
                <w:lang w:val="en-US"/>
              </w:rPr>
            </w:pPr>
            <w:r>
              <w:rPr>
                <w:rFonts w:ascii="Georgia" w:hAnsi="Georgia"/>
                <w:sz w:val="20"/>
                <w:szCs w:val="20"/>
                <w:lang w:val="en-US"/>
              </w:rPr>
              <w:t>The crop and growth stage specific PD values in the NZ GD can be used; see chapter 5 (sections “Risk assessment”) and appendices 3 &amp; 4 in the GD</w:t>
            </w:r>
          </w:p>
          <w:p w:rsidR="009407A2" w:rsidRDefault="009407A2" w:rsidP="003A3E69">
            <w:pPr>
              <w:spacing w:after="60" w:line="260" w:lineRule="atLeast"/>
              <w:rPr>
                <w:rFonts w:ascii="Georgia" w:hAnsi="Georgia"/>
                <w:sz w:val="20"/>
                <w:szCs w:val="20"/>
                <w:lang w:val="en-US"/>
              </w:rPr>
            </w:pPr>
            <w:r>
              <w:rPr>
                <w:rFonts w:ascii="Georgia" w:hAnsi="Georgia"/>
                <w:sz w:val="20"/>
                <w:szCs w:val="20"/>
                <w:lang w:val="en-US"/>
              </w:rPr>
              <w:t>TER values must be calculated for all relevant combinations of growth stage and month; worst case TER is used</w:t>
            </w:r>
          </w:p>
        </w:tc>
      </w:tr>
      <w:tr w:rsidR="009407A2" w:rsidRPr="00F95741" w:rsidTr="0087583C">
        <w:tc>
          <w:tcPr>
            <w:tcW w:w="1871" w:type="dxa"/>
            <w:tcBorders>
              <w:top w:val="nil"/>
            </w:tcBorders>
          </w:tcPr>
          <w:p w:rsidR="009407A2" w:rsidRDefault="009407A2" w:rsidP="00FF2ADD">
            <w:pPr>
              <w:spacing w:line="260" w:lineRule="atLeast"/>
              <w:rPr>
                <w:rFonts w:ascii="Georgia" w:hAnsi="Georgia"/>
                <w:sz w:val="20"/>
                <w:szCs w:val="20"/>
                <w:lang w:val="en-US"/>
              </w:rPr>
            </w:pPr>
          </w:p>
        </w:tc>
        <w:tc>
          <w:tcPr>
            <w:tcW w:w="3855" w:type="dxa"/>
          </w:tcPr>
          <w:p w:rsidR="009407A2" w:rsidRDefault="009407A2" w:rsidP="003B50C7">
            <w:pPr>
              <w:spacing w:after="20" w:line="260" w:lineRule="atLeast"/>
              <w:rPr>
                <w:rFonts w:ascii="Georgia" w:hAnsi="Georgia"/>
                <w:sz w:val="20"/>
                <w:szCs w:val="20"/>
                <w:lang w:val="en-US"/>
              </w:rPr>
            </w:pPr>
            <w:r w:rsidRPr="001550B4">
              <w:rPr>
                <w:rFonts w:ascii="Georgia" w:hAnsi="Georgia"/>
                <w:sz w:val="20"/>
                <w:szCs w:val="20"/>
                <w:u w:val="single"/>
                <w:lang w:val="en-US"/>
              </w:rPr>
              <w:t>Long-term (reproductive) risk</w:t>
            </w:r>
            <w:r>
              <w:rPr>
                <w:rFonts w:ascii="Georgia" w:hAnsi="Georgia"/>
                <w:sz w:val="20"/>
                <w:szCs w:val="20"/>
                <w:lang w:val="en-US"/>
              </w:rPr>
              <w:t>:</w:t>
            </w:r>
          </w:p>
          <w:p w:rsidR="009407A2" w:rsidRDefault="009407A2" w:rsidP="00DA1355">
            <w:pPr>
              <w:spacing w:line="260" w:lineRule="atLeast"/>
              <w:rPr>
                <w:rFonts w:ascii="Georgia" w:hAnsi="Georgia"/>
                <w:sz w:val="20"/>
                <w:szCs w:val="20"/>
                <w:lang w:val="en-US"/>
              </w:rPr>
            </w:pPr>
            <w:r>
              <w:rPr>
                <w:rFonts w:ascii="Georgia" w:hAnsi="Georgia"/>
                <w:sz w:val="20"/>
                <w:szCs w:val="20"/>
                <w:lang w:val="en-US"/>
              </w:rPr>
              <w:t>The crop and growth stage specific PD values in the NZ GD can be used; see chapter 5 (sections “Risk assessment) and appendices 3 &amp; 4 in the GD</w:t>
            </w:r>
          </w:p>
        </w:tc>
        <w:tc>
          <w:tcPr>
            <w:tcW w:w="3855" w:type="dxa"/>
          </w:tcPr>
          <w:p w:rsidR="009407A2" w:rsidRDefault="009407A2" w:rsidP="003B50C7">
            <w:pPr>
              <w:spacing w:after="20" w:line="260" w:lineRule="atLeast"/>
              <w:rPr>
                <w:rFonts w:ascii="Georgia" w:hAnsi="Georgia"/>
                <w:sz w:val="20"/>
                <w:szCs w:val="20"/>
                <w:lang w:val="en-US"/>
              </w:rPr>
            </w:pPr>
            <w:r w:rsidRPr="001550B4">
              <w:rPr>
                <w:rFonts w:ascii="Georgia" w:hAnsi="Georgia"/>
                <w:sz w:val="20"/>
                <w:szCs w:val="20"/>
                <w:u w:val="single"/>
                <w:lang w:val="en-US"/>
              </w:rPr>
              <w:t>Long-term (reproductive) risk</w:t>
            </w:r>
            <w:r>
              <w:rPr>
                <w:rFonts w:ascii="Georgia" w:hAnsi="Georgia"/>
                <w:sz w:val="20"/>
                <w:szCs w:val="20"/>
                <w:lang w:val="en-US"/>
              </w:rPr>
              <w:t>:</w:t>
            </w:r>
          </w:p>
          <w:p w:rsidR="009407A2" w:rsidRDefault="009407A2" w:rsidP="003A3E69">
            <w:pPr>
              <w:spacing w:line="260" w:lineRule="atLeast"/>
              <w:rPr>
                <w:rFonts w:ascii="Georgia" w:hAnsi="Georgia"/>
                <w:sz w:val="20"/>
                <w:szCs w:val="20"/>
                <w:lang w:val="en-US"/>
              </w:rPr>
            </w:pPr>
            <w:r>
              <w:rPr>
                <w:rFonts w:ascii="Georgia" w:hAnsi="Georgia"/>
                <w:sz w:val="20"/>
                <w:szCs w:val="20"/>
                <w:lang w:val="en-US"/>
              </w:rPr>
              <w:t>The crop and growth stage specific PD values in the NZ GD can be used (as in the Core assessment)</w:t>
            </w:r>
          </w:p>
          <w:p w:rsidR="009407A2" w:rsidRDefault="009407A2" w:rsidP="00DA1BBB">
            <w:pPr>
              <w:spacing w:before="120" w:after="60" w:line="260" w:lineRule="atLeast"/>
              <w:rPr>
                <w:rFonts w:ascii="Georgia" w:hAnsi="Georgia"/>
                <w:sz w:val="20"/>
                <w:szCs w:val="20"/>
                <w:lang w:val="en-US"/>
              </w:rPr>
            </w:pPr>
            <w:r>
              <w:rPr>
                <w:rFonts w:ascii="Georgia" w:hAnsi="Georgia"/>
                <w:sz w:val="20"/>
                <w:szCs w:val="20"/>
                <w:lang w:val="en-US"/>
              </w:rPr>
              <w:t>TER values must be calculated for all relevant combinations of growth stage and month; mean RUD is used for each focal species</w:t>
            </w:r>
          </w:p>
        </w:tc>
      </w:tr>
      <w:tr w:rsidR="009407A2" w:rsidRPr="00F95741" w:rsidTr="00DC12D9">
        <w:tc>
          <w:tcPr>
            <w:tcW w:w="1871" w:type="dxa"/>
          </w:tcPr>
          <w:p w:rsidR="009407A2" w:rsidRDefault="009407A2" w:rsidP="00FF2ADD">
            <w:pPr>
              <w:spacing w:line="260" w:lineRule="atLeast"/>
              <w:rPr>
                <w:rFonts w:ascii="Georgia" w:hAnsi="Georgia"/>
                <w:sz w:val="20"/>
                <w:szCs w:val="20"/>
                <w:lang w:val="en-US"/>
              </w:rPr>
            </w:pPr>
            <w:r>
              <w:rPr>
                <w:rFonts w:ascii="Georgia" w:hAnsi="Georgia"/>
                <w:sz w:val="20"/>
                <w:szCs w:val="20"/>
                <w:lang w:val="en-US"/>
              </w:rPr>
              <w:lastRenderedPageBreak/>
              <w:t>Residues</w:t>
            </w:r>
          </w:p>
          <w:p w:rsidR="009407A2" w:rsidRDefault="009407A2" w:rsidP="00FF2ADD">
            <w:pPr>
              <w:spacing w:line="260" w:lineRule="atLeast"/>
              <w:rPr>
                <w:rFonts w:ascii="Georgia" w:hAnsi="Georgia"/>
                <w:sz w:val="20"/>
                <w:szCs w:val="20"/>
                <w:lang w:val="en-US"/>
              </w:rPr>
            </w:pPr>
            <w:r>
              <w:rPr>
                <w:rFonts w:ascii="Georgia" w:hAnsi="Georgia"/>
                <w:sz w:val="20"/>
                <w:szCs w:val="20"/>
                <w:lang w:val="en-US"/>
              </w:rPr>
              <w:t>(RUD)</w:t>
            </w:r>
          </w:p>
        </w:tc>
        <w:tc>
          <w:tcPr>
            <w:tcW w:w="3855" w:type="dxa"/>
          </w:tcPr>
          <w:p w:rsidR="009407A2" w:rsidRDefault="009407A2" w:rsidP="00DA1355">
            <w:pPr>
              <w:spacing w:after="60" w:line="260" w:lineRule="atLeast"/>
              <w:rPr>
                <w:rFonts w:ascii="Georgia" w:hAnsi="Georgia"/>
                <w:sz w:val="20"/>
                <w:szCs w:val="20"/>
                <w:lang w:val="en-US"/>
              </w:rPr>
            </w:pPr>
            <w:r>
              <w:rPr>
                <w:rFonts w:ascii="Georgia" w:hAnsi="Georgia"/>
                <w:sz w:val="20"/>
                <w:szCs w:val="20"/>
                <w:lang w:val="en-US"/>
              </w:rPr>
              <w:t>Standard RUD values (EFSA 2009 appendix F and NZ GD Table 4.1) may be supple</w:t>
            </w:r>
            <w:r>
              <w:rPr>
                <w:rFonts w:ascii="Georgia" w:hAnsi="Georgia"/>
                <w:sz w:val="20"/>
                <w:szCs w:val="20"/>
                <w:lang w:val="en-US"/>
              </w:rPr>
              <w:softHyphen/>
              <w:t>men</w:t>
            </w:r>
            <w:r>
              <w:rPr>
                <w:rFonts w:ascii="Georgia" w:hAnsi="Georgia"/>
                <w:sz w:val="20"/>
                <w:szCs w:val="20"/>
                <w:lang w:val="en-US"/>
              </w:rPr>
              <w:softHyphen/>
              <w:t>ted (</w:t>
            </w:r>
            <w:r w:rsidRPr="00710570">
              <w:rPr>
                <w:rFonts w:ascii="Georgia" w:hAnsi="Georgia"/>
                <w:i/>
                <w:sz w:val="20"/>
                <w:szCs w:val="20"/>
                <w:lang w:val="en-US"/>
              </w:rPr>
              <w:t>not</w:t>
            </w:r>
            <w:r>
              <w:rPr>
                <w:rFonts w:ascii="Georgia" w:hAnsi="Georgia"/>
                <w:sz w:val="20"/>
                <w:szCs w:val="20"/>
                <w:lang w:val="en-US"/>
              </w:rPr>
              <w:t xml:space="preserve"> replaced) by residues from relevant studies. The recommendations in EFSA 2009,  section 6.1.4, are followed (cf. section 4.3 of the NZ GD)</w:t>
            </w:r>
          </w:p>
        </w:tc>
        <w:tc>
          <w:tcPr>
            <w:tcW w:w="3855" w:type="dxa"/>
          </w:tcPr>
          <w:p w:rsidR="009407A2" w:rsidRPr="00F122BF" w:rsidRDefault="009407A2" w:rsidP="002D1214">
            <w:pPr>
              <w:spacing w:after="120" w:line="260" w:lineRule="atLeast"/>
              <w:rPr>
                <w:rFonts w:ascii="Georgia" w:hAnsi="Georgia"/>
                <w:sz w:val="20"/>
                <w:szCs w:val="20"/>
                <w:vertAlign w:val="superscript"/>
                <w:lang w:val="en-US"/>
              </w:rPr>
            </w:pPr>
            <w:r>
              <w:rPr>
                <w:rFonts w:ascii="Georgia" w:hAnsi="Georgia"/>
                <w:sz w:val="20"/>
                <w:szCs w:val="20"/>
                <w:lang w:val="en-US"/>
              </w:rPr>
              <w:t xml:space="preserve">The assessment follows the same principles as described for the Core assessment. New additional data will be evaluated on a case-by-case basis and </w:t>
            </w:r>
            <w:r w:rsidRPr="00FB4B65">
              <w:rPr>
                <w:rFonts w:ascii="Georgia" w:hAnsi="Georgia"/>
                <w:i/>
                <w:sz w:val="20"/>
                <w:szCs w:val="20"/>
                <w:lang w:val="en-US"/>
              </w:rPr>
              <w:t>may</w:t>
            </w:r>
            <w:r>
              <w:rPr>
                <w:rFonts w:ascii="Georgia" w:hAnsi="Georgia"/>
                <w:sz w:val="20"/>
                <w:szCs w:val="20"/>
                <w:lang w:val="en-US"/>
              </w:rPr>
              <w:t xml:space="preserve"> replace the standard values if they are considered more representative</w:t>
            </w:r>
            <w:r w:rsidRPr="00115BA8">
              <w:rPr>
                <w:rFonts w:ascii="Times New Roman" w:hAnsi="Times New Roman" w:cs="Times New Roman"/>
                <w:sz w:val="20"/>
                <w:szCs w:val="20"/>
                <w:vertAlign w:val="superscript"/>
                <w:lang w:val="en-US"/>
              </w:rPr>
              <w:t xml:space="preserve"> 2</w:t>
            </w:r>
          </w:p>
          <w:p w:rsidR="009407A2" w:rsidRDefault="009407A2" w:rsidP="002D1214">
            <w:pPr>
              <w:spacing w:after="60" w:line="260" w:lineRule="atLeast"/>
              <w:rPr>
                <w:rFonts w:ascii="Georgia" w:hAnsi="Georgia"/>
                <w:sz w:val="20"/>
                <w:szCs w:val="20"/>
                <w:lang w:val="en-US"/>
              </w:rPr>
            </w:pPr>
            <w:r>
              <w:rPr>
                <w:rFonts w:ascii="Georgia" w:hAnsi="Georgia"/>
                <w:sz w:val="20"/>
                <w:szCs w:val="20"/>
                <w:lang w:val="en-US"/>
              </w:rPr>
              <w:t>The evaluation of the representative</w:t>
            </w:r>
            <w:r>
              <w:rPr>
                <w:rFonts w:ascii="Georgia" w:hAnsi="Georgia"/>
                <w:sz w:val="20"/>
                <w:szCs w:val="20"/>
                <w:lang w:val="en-US"/>
              </w:rPr>
              <w:softHyphen/>
              <w:t>ness of new data is based on:</w:t>
            </w:r>
          </w:p>
          <w:p w:rsidR="009407A2" w:rsidRPr="002D1214" w:rsidRDefault="009407A2" w:rsidP="002D1214">
            <w:pPr>
              <w:pStyle w:val="Listeafsnit"/>
              <w:numPr>
                <w:ilvl w:val="0"/>
                <w:numId w:val="1"/>
              </w:numPr>
              <w:spacing w:line="260" w:lineRule="atLeast"/>
              <w:ind w:left="284" w:hanging="284"/>
              <w:rPr>
                <w:rFonts w:ascii="Georgia" w:hAnsi="Georgia"/>
                <w:sz w:val="20"/>
                <w:szCs w:val="20"/>
                <w:lang w:val="en-US"/>
              </w:rPr>
            </w:pPr>
            <w:r w:rsidRPr="002D1214">
              <w:rPr>
                <w:rFonts w:ascii="Georgia" w:hAnsi="Georgia"/>
                <w:sz w:val="20"/>
                <w:szCs w:val="20"/>
                <w:lang w:val="en-US"/>
              </w:rPr>
              <w:t>Number of sites</w:t>
            </w:r>
          </w:p>
          <w:p w:rsidR="009407A2" w:rsidRPr="002D1214" w:rsidRDefault="009407A2" w:rsidP="002D1214">
            <w:pPr>
              <w:pStyle w:val="Listeafsnit"/>
              <w:numPr>
                <w:ilvl w:val="0"/>
                <w:numId w:val="1"/>
              </w:numPr>
              <w:spacing w:line="260" w:lineRule="atLeast"/>
              <w:ind w:left="284" w:hanging="284"/>
              <w:rPr>
                <w:rFonts w:ascii="Georgia" w:hAnsi="Georgia"/>
                <w:sz w:val="20"/>
                <w:szCs w:val="20"/>
                <w:lang w:val="en-US"/>
              </w:rPr>
            </w:pPr>
            <w:r w:rsidRPr="002D1214">
              <w:rPr>
                <w:rFonts w:ascii="Georgia" w:hAnsi="Georgia"/>
                <w:sz w:val="20"/>
                <w:szCs w:val="20"/>
                <w:lang w:val="en-US"/>
              </w:rPr>
              <w:t>Relevance of sites in relation to Danis</w:t>
            </w:r>
            <w:r>
              <w:rPr>
                <w:rFonts w:ascii="Georgia" w:hAnsi="Georgia"/>
                <w:sz w:val="20"/>
                <w:szCs w:val="20"/>
                <w:lang w:val="en-US"/>
              </w:rPr>
              <w:t>h</w:t>
            </w:r>
            <w:r w:rsidRPr="002D1214">
              <w:rPr>
                <w:rFonts w:ascii="Georgia" w:hAnsi="Georgia"/>
                <w:sz w:val="20"/>
                <w:szCs w:val="20"/>
                <w:lang w:val="en-US"/>
              </w:rPr>
              <w:t xml:space="preserve"> conditions</w:t>
            </w:r>
          </w:p>
          <w:p w:rsidR="009407A2" w:rsidRPr="00DF738C" w:rsidRDefault="009407A2" w:rsidP="00DF738C">
            <w:pPr>
              <w:spacing w:before="60" w:after="60" w:line="260" w:lineRule="atLeast"/>
              <w:rPr>
                <w:rFonts w:ascii="Georgia" w:hAnsi="Georgia"/>
                <w:sz w:val="20"/>
                <w:szCs w:val="20"/>
                <w:lang w:val="en-US"/>
              </w:rPr>
            </w:pPr>
            <w:r>
              <w:rPr>
                <w:rFonts w:ascii="Georgia" w:hAnsi="Georgia"/>
                <w:sz w:val="20"/>
                <w:szCs w:val="20"/>
                <w:lang w:val="en-US"/>
              </w:rPr>
              <w:t>Any decision on replacement of the standard RUDs will also depend on the a</w:t>
            </w:r>
            <w:r w:rsidRPr="00DF738C">
              <w:rPr>
                <w:rFonts w:ascii="Georgia" w:hAnsi="Georgia"/>
                <w:sz w:val="20"/>
                <w:szCs w:val="20"/>
                <w:lang w:val="en-US"/>
              </w:rPr>
              <w:t>mount of data on which the standard RUD values are based</w:t>
            </w:r>
            <w:r w:rsidRPr="006F0E7B">
              <w:rPr>
                <w:rFonts w:ascii="Georgia" w:hAnsi="Georgia"/>
                <w:sz w:val="20"/>
                <w:szCs w:val="20"/>
                <w:vertAlign w:val="superscript"/>
                <w:lang w:val="en-US"/>
              </w:rPr>
              <w:t xml:space="preserve"> </w:t>
            </w:r>
            <w:r>
              <w:rPr>
                <w:rFonts w:ascii="Times New Roman" w:hAnsi="Times New Roman" w:cs="Times New Roman"/>
                <w:sz w:val="20"/>
                <w:szCs w:val="20"/>
                <w:vertAlign w:val="superscript"/>
                <w:lang w:val="en-US"/>
              </w:rPr>
              <w:t>3</w:t>
            </w:r>
          </w:p>
        </w:tc>
      </w:tr>
      <w:tr w:rsidR="009407A2" w:rsidRPr="00F95741" w:rsidTr="00DC12D9">
        <w:tc>
          <w:tcPr>
            <w:tcW w:w="1871" w:type="dxa"/>
          </w:tcPr>
          <w:p w:rsidR="009407A2" w:rsidRDefault="009407A2" w:rsidP="00FF2ADD">
            <w:pPr>
              <w:spacing w:line="260" w:lineRule="atLeast"/>
              <w:rPr>
                <w:rFonts w:ascii="Georgia" w:hAnsi="Georgia"/>
                <w:sz w:val="20"/>
                <w:szCs w:val="20"/>
                <w:lang w:val="en-US"/>
              </w:rPr>
            </w:pPr>
            <w:r>
              <w:rPr>
                <w:rFonts w:ascii="Georgia" w:hAnsi="Georgia"/>
                <w:sz w:val="20"/>
                <w:szCs w:val="20"/>
                <w:lang w:val="en-US"/>
              </w:rPr>
              <w:t>Residue decline</w:t>
            </w:r>
          </w:p>
          <w:p w:rsidR="009407A2" w:rsidRDefault="009407A2" w:rsidP="00FF2ADD">
            <w:pPr>
              <w:spacing w:line="260" w:lineRule="atLeast"/>
              <w:rPr>
                <w:rFonts w:ascii="Georgia" w:hAnsi="Georgia"/>
                <w:sz w:val="20"/>
                <w:szCs w:val="20"/>
                <w:lang w:val="en-US"/>
              </w:rPr>
            </w:pPr>
            <w:r>
              <w:rPr>
                <w:rFonts w:ascii="Georgia" w:hAnsi="Georgia"/>
                <w:sz w:val="20"/>
                <w:szCs w:val="20"/>
                <w:lang w:val="en-US"/>
              </w:rPr>
              <w:t>(DT50)</w:t>
            </w:r>
          </w:p>
        </w:tc>
        <w:tc>
          <w:tcPr>
            <w:tcW w:w="3855" w:type="dxa"/>
          </w:tcPr>
          <w:p w:rsidR="009407A2" w:rsidRDefault="009407A2" w:rsidP="00D505D2">
            <w:pPr>
              <w:spacing w:after="60" w:line="260" w:lineRule="atLeast"/>
              <w:rPr>
                <w:rFonts w:ascii="Georgia" w:hAnsi="Georgia"/>
                <w:sz w:val="20"/>
                <w:szCs w:val="20"/>
                <w:lang w:val="en-US"/>
              </w:rPr>
            </w:pPr>
            <w:r>
              <w:rPr>
                <w:rFonts w:ascii="Georgia" w:hAnsi="Georgia"/>
                <w:sz w:val="20"/>
                <w:szCs w:val="20"/>
                <w:lang w:val="en-US"/>
              </w:rPr>
              <w:t>Refinement of the standard DT50 (10 days) is accepted if based on data from at least 4 sites, which are considered relevant for Northern Zone conditions</w:t>
            </w:r>
            <w:r>
              <w:rPr>
                <w:rFonts w:ascii="Times New Roman" w:hAnsi="Times New Roman" w:cs="Times New Roman"/>
                <w:sz w:val="20"/>
                <w:szCs w:val="20"/>
                <w:vertAlign w:val="superscript"/>
                <w:lang w:val="en-US"/>
              </w:rPr>
              <w:t xml:space="preserve"> 4</w:t>
            </w:r>
          </w:p>
          <w:p w:rsidR="009407A2" w:rsidRPr="00D505D2" w:rsidRDefault="009407A2" w:rsidP="00AA6985">
            <w:pPr>
              <w:pStyle w:val="Listeafsnit"/>
              <w:numPr>
                <w:ilvl w:val="0"/>
                <w:numId w:val="2"/>
              </w:numPr>
              <w:spacing w:after="20" w:line="260" w:lineRule="atLeast"/>
              <w:ind w:left="284" w:hanging="284"/>
              <w:contextualSpacing w:val="0"/>
              <w:rPr>
                <w:rFonts w:ascii="Georgia" w:hAnsi="Georgia"/>
                <w:sz w:val="20"/>
                <w:szCs w:val="20"/>
                <w:lang w:val="en-US"/>
              </w:rPr>
            </w:pPr>
            <w:r w:rsidRPr="00D505D2">
              <w:rPr>
                <w:rFonts w:ascii="Georgia" w:hAnsi="Georgia"/>
                <w:sz w:val="20"/>
                <w:szCs w:val="20"/>
                <w:lang w:val="en-US"/>
              </w:rPr>
              <w:t xml:space="preserve">4 to 10 sites: </w:t>
            </w:r>
            <w:r>
              <w:rPr>
                <w:rFonts w:ascii="Georgia" w:hAnsi="Georgia"/>
                <w:sz w:val="20"/>
                <w:szCs w:val="20"/>
                <w:lang w:val="en-US"/>
              </w:rPr>
              <w:t>worst case</w:t>
            </w:r>
            <w:r w:rsidRPr="00D505D2">
              <w:rPr>
                <w:rFonts w:ascii="Georgia" w:hAnsi="Georgia"/>
                <w:sz w:val="20"/>
                <w:szCs w:val="20"/>
                <w:lang w:val="en-US"/>
              </w:rPr>
              <w:t xml:space="preserve"> DT50 is used</w:t>
            </w:r>
          </w:p>
          <w:p w:rsidR="009407A2" w:rsidRPr="00D505D2" w:rsidRDefault="009407A2" w:rsidP="00D505D2">
            <w:pPr>
              <w:pStyle w:val="Listeafsnit"/>
              <w:numPr>
                <w:ilvl w:val="0"/>
                <w:numId w:val="2"/>
              </w:numPr>
              <w:spacing w:after="60" w:line="260" w:lineRule="atLeast"/>
              <w:ind w:left="284" w:hanging="284"/>
              <w:contextualSpacing w:val="0"/>
              <w:rPr>
                <w:rFonts w:ascii="Georgia" w:hAnsi="Georgia"/>
                <w:sz w:val="20"/>
                <w:szCs w:val="20"/>
                <w:lang w:val="en-US"/>
              </w:rPr>
            </w:pPr>
            <w:r w:rsidRPr="00D505D2">
              <w:rPr>
                <w:rFonts w:ascii="Georgia" w:hAnsi="Georgia"/>
                <w:sz w:val="20"/>
                <w:szCs w:val="20"/>
                <w:lang w:val="en-US"/>
              </w:rPr>
              <w:t>&gt; 10 sites: arithmetic mean DT50 is used</w:t>
            </w:r>
          </w:p>
        </w:tc>
        <w:tc>
          <w:tcPr>
            <w:tcW w:w="3855" w:type="dxa"/>
          </w:tcPr>
          <w:p w:rsidR="009407A2" w:rsidRDefault="009407A2" w:rsidP="00D505D2">
            <w:pPr>
              <w:spacing w:after="60" w:line="260" w:lineRule="atLeast"/>
              <w:rPr>
                <w:rFonts w:ascii="Georgia" w:hAnsi="Georgia"/>
                <w:sz w:val="20"/>
                <w:szCs w:val="20"/>
                <w:lang w:val="en-US"/>
              </w:rPr>
            </w:pPr>
            <w:r>
              <w:rPr>
                <w:rFonts w:ascii="Georgia" w:hAnsi="Georgia"/>
                <w:sz w:val="20"/>
                <w:szCs w:val="20"/>
                <w:lang w:val="en-US"/>
              </w:rPr>
              <w:t>Refinement of the standard DT50 (10 days) is accepted if based on data from at least 2 sites, which are considered relevant for Danish conditions and for the crop in question</w:t>
            </w:r>
          </w:p>
          <w:p w:rsidR="009407A2" w:rsidRPr="00D505D2" w:rsidRDefault="009407A2" w:rsidP="00AA6985">
            <w:pPr>
              <w:pStyle w:val="Listeafsnit"/>
              <w:numPr>
                <w:ilvl w:val="0"/>
                <w:numId w:val="2"/>
              </w:numPr>
              <w:spacing w:after="20" w:line="260" w:lineRule="atLeast"/>
              <w:ind w:left="284" w:hanging="284"/>
              <w:contextualSpacing w:val="0"/>
              <w:rPr>
                <w:rFonts w:ascii="Georgia" w:hAnsi="Georgia"/>
                <w:sz w:val="20"/>
                <w:szCs w:val="20"/>
                <w:lang w:val="en-US"/>
              </w:rPr>
            </w:pPr>
            <w:r>
              <w:rPr>
                <w:rFonts w:ascii="Georgia" w:hAnsi="Georgia"/>
                <w:sz w:val="20"/>
                <w:szCs w:val="20"/>
                <w:lang w:val="en-US"/>
              </w:rPr>
              <w:t>2 or 3</w:t>
            </w:r>
            <w:r w:rsidRPr="00D505D2">
              <w:rPr>
                <w:rFonts w:ascii="Georgia" w:hAnsi="Georgia"/>
                <w:sz w:val="20"/>
                <w:szCs w:val="20"/>
                <w:lang w:val="en-US"/>
              </w:rPr>
              <w:t xml:space="preserve"> sites: </w:t>
            </w:r>
            <w:r>
              <w:rPr>
                <w:rFonts w:ascii="Georgia" w:hAnsi="Georgia"/>
                <w:sz w:val="20"/>
                <w:szCs w:val="20"/>
                <w:lang w:val="en-US"/>
              </w:rPr>
              <w:t>worst case</w:t>
            </w:r>
            <w:r w:rsidRPr="00D505D2">
              <w:rPr>
                <w:rFonts w:ascii="Georgia" w:hAnsi="Georgia"/>
                <w:sz w:val="20"/>
                <w:szCs w:val="20"/>
                <w:lang w:val="en-US"/>
              </w:rPr>
              <w:t xml:space="preserve"> DT50 is used</w:t>
            </w:r>
          </w:p>
          <w:p w:rsidR="009407A2" w:rsidRPr="00D505D2" w:rsidRDefault="009407A2" w:rsidP="00626D04">
            <w:pPr>
              <w:pStyle w:val="Listeafsnit"/>
              <w:numPr>
                <w:ilvl w:val="0"/>
                <w:numId w:val="2"/>
              </w:numPr>
              <w:spacing w:after="60" w:line="260" w:lineRule="atLeast"/>
              <w:ind w:left="284" w:hanging="284"/>
              <w:contextualSpacing w:val="0"/>
              <w:rPr>
                <w:rFonts w:ascii="Georgia" w:hAnsi="Georgia"/>
                <w:sz w:val="20"/>
                <w:szCs w:val="20"/>
                <w:lang w:val="en-US"/>
              </w:rPr>
            </w:pPr>
            <w:r>
              <w:rPr>
                <w:rFonts w:ascii="Georgia" w:hAnsi="Georgia"/>
                <w:sz w:val="20"/>
                <w:szCs w:val="20"/>
                <w:lang w:val="en-US"/>
              </w:rPr>
              <w:t>≥ 4</w:t>
            </w:r>
            <w:r w:rsidRPr="00D505D2">
              <w:rPr>
                <w:rFonts w:ascii="Georgia" w:hAnsi="Georgia"/>
                <w:sz w:val="20"/>
                <w:szCs w:val="20"/>
                <w:lang w:val="en-US"/>
              </w:rPr>
              <w:t xml:space="preserve"> sites: arithmetic mean DT50 is used</w:t>
            </w:r>
          </w:p>
        </w:tc>
      </w:tr>
      <w:tr w:rsidR="009407A2" w:rsidRPr="00F95741" w:rsidTr="00DD7407">
        <w:tc>
          <w:tcPr>
            <w:tcW w:w="1871" w:type="dxa"/>
            <w:tcBorders>
              <w:bottom w:val="single" w:sz="4" w:space="0" w:color="auto"/>
            </w:tcBorders>
          </w:tcPr>
          <w:p w:rsidR="009407A2" w:rsidRDefault="009407A2" w:rsidP="00AA6985">
            <w:pPr>
              <w:spacing w:line="260" w:lineRule="atLeast"/>
              <w:rPr>
                <w:rFonts w:ascii="Georgia" w:hAnsi="Georgia"/>
                <w:sz w:val="20"/>
                <w:szCs w:val="20"/>
                <w:lang w:val="en-US"/>
              </w:rPr>
            </w:pPr>
            <w:r>
              <w:rPr>
                <w:rFonts w:ascii="Georgia" w:hAnsi="Georgia"/>
                <w:sz w:val="20"/>
                <w:szCs w:val="20"/>
                <w:lang w:val="en-US"/>
              </w:rPr>
              <w:t>Interception</w:t>
            </w:r>
          </w:p>
        </w:tc>
        <w:tc>
          <w:tcPr>
            <w:tcW w:w="3855" w:type="dxa"/>
          </w:tcPr>
          <w:p w:rsidR="009407A2" w:rsidRDefault="009407A2" w:rsidP="00346B5A">
            <w:pPr>
              <w:spacing w:after="60" w:line="260" w:lineRule="atLeast"/>
              <w:rPr>
                <w:rFonts w:ascii="Georgia" w:hAnsi="Georgia"/>
                <w:sz w:val="20"/>
                <w:szCs w:val="20"/>
                <w:lang w:val="en-US"/>
              </w:rPr>
            </w:pPr>
            <w:r w:rsidRPr="00626D04">
              <w:rPr>
                <w:rFonts w:ascii="Georgia" w:hAnsi="Georgia"/>
                <w:sz w:val="20"/>
                <w:szCs w:val="20"/>
                <w:u w:val="single"/>
                <w:lang w:val="en-US"/>
              </w:rPr>
              <w:t>Tiered approach</w:t>
            </w:r>
            <w:r>
              <w:rPr>
                <w:rFonts w:ascii="Georgia" w:hAnsi="Georgia"/>
                <w:sz w:val="20"/>
                <w:szCs w:val="20"/>
                <w:lang w:val="en-US"/>
              </w:rPr>
              <w:t>:</w:t>
            </w:r>
          </w:p>
          <w:p w:rsidR="009407A2" w:rsidRDefault="009407A2" w:rsidP="00346B5A">
            <w:pPr>
              <w:spacing w:after="60" w:line="260" w:lineRule="atLeast"/>
              <w:rPr>
                <w:rFonts w:ascii="Georgia" w:hAnsi="Georgia"/>
                <w:sz w:val="20"/>
                <w:szCs w:val="20"/>
                <w:lang w:val="en-US"/>
              </w:rPr>
            </w:pPr>
            <w:r w:rsidRPr="00346B5A">
              <w:rPr>
                <w:rFonts w:ascii="Georgia" w:hAnsi="Georgia"/>
                <w:sz w:val="20"/>
                <w:szCs w:val="20"/>
                <w:u w:val="single"/>
                <w:lang w:val="en-US"/>
              </w:rPr>
              <w:t>Step 1</w:t>
            </w:r>
            <w:r>
              <w:rPr>
                <w:rFonts w:ascii="Georgia" w:hAnsi="Georgia"/>
                <w:sz w:val="20"/>
                <w:szCs w:val="20"/>
                <w:lang w:val="en-US"/>
              </w:rPr>
              <w:t>: Interception factors in Table 4.2 of the NZ GD are used; no interception is considered at earlier growth stages</w:t>
            </w:r>
          </w:p>
          <w:p w:rsidR="009407A2" w:rsidRDefault="009407A2" w:rsidP="00AA6985">
            <w:pPr>
              <w:spacing w:after="60" w:line="260" w:lineRule="atLeast"/>
              <w:rPr>
                <w:rFonts w:ascii="Georgia" w:hAnsi="Georgia"/>
                <w:sz w:val="20"/>
                <w:szCs w:val="20"/>
                <w:lang w:val="en-US"/>
              </w:rPr>
            </w:pPr>
            <w:r w:rsidRPr="00346B5A">
              <w:rPr>
                <w:rFonts w:ascii="Georgia" w:hAnsi="Georgia"/>
                <w:sz w:val="20"/>
                <w:szCs w:val="20"/>
                <w:u w:val="single"/>
                <w:lang w:val="en-US"/>
              </w:rPr>
              <w:t>Step 2</w:t>
            </w:r>
            <w:r>
              <w:rPr>
                <w:rFonts w:ascii="Georgia" w:hAnsi="Georgia"/>
                <w:sz w:val="20"/>
                <w:szCs w:val="20"/>
                <w:lang w:val="en-US"/>
              </w:rPr>
              <w:t>: Interception factors in Tables 4.3 and 4.4 of the NZ GD are used</w:t>
            </w:r>
            <w:r w:rsidRPr="006F0E7B">
              <w:rPr>
                <w:rFonts w:ascii="Times New Roman" w:hAnsi="Times New Roman" w:cs="Times New Roman"/>
                <w:sz w:val="20"/>
                <w:szCs w:val="20"/>
                <w:vertAlign w:val="superscript"/>
                <w:lang w:val="en-US"/>
              </w:rPr>
              <w:t xml:space="preserve"> </w:t>
            </w:r>
            <w:r>
              <w:rPr>
                <w:rFonts w:ascii="Times New Roman" w:hAnsi="Times New Roman" w:cs="Times New Roman"/>
                <w:sz w:val="20"/>
                <w:szCs w:val="20"/>
                <w:vertAlign w:val="superscript"/>
                <w:lang w:val="en-US"/>
              </w:rPr>
              <w:t>5</w:t>
            </w:r>
            <w:r>
              <w:rPr>
                <w:rFonts w:ascii="Georgia" w:hAnsi="Georgia"/>
                <w:sz w:val="20"/>
                <w:szCs w:val="20"/>
                <w:lang w:val="en-US"/>
              </w:rPr>
              <w:t>; however country-specific restrictions to the use of these values apply for Norway, Sweden, Finland and Latvia (see NZ GD section 4.5)</w:t>
            </w:r>
          </w:p>
        </w:tc>
        <w:tc>
          <w:tcPr>
            <w:tcW w:w="3855" w:type="dxa"/>
          </w:tcPr>
          <w:p w:rsidR="009407A2" w:rsidRDefault="009407A2" w:rsidP="00346B5A">
            <w:pPr>
              <w:spacing w:after="60" w:line="260" w:lineRule="atLeast"/>
              <w:rPr>
                <w:rFonts w:ascii="Georgia" w:hAnsi="Georgia"/>
                <w:sz w:val="20"/>
                <w:szCs w:val="20"/>
                <w:lang w:val="en-US"/>
              </w:rPr>
            </w:pPr>
            <w:r w:rsidRPr="00CE1DDD">
              <w:rPr>
                <w:rFonts w:ascii="Georgia" w:hAnsi="Georgia"/>
                <w:sz w:val="20"/>
                <w:szCs w:val="20"/>
                <w:u w:val="single"/>
                <w:lang w:val="en-US"/>
              </w:rPr>
              <w:t>Use of the following values is accepted</w:t>
            </w:r>
            <w:r>
              <w:rPr>
                <w:rFonts w:ascii="Georgia" w:hAnsi="Georgia"/>
                <w:sz w:val="20"/>
                <w:szCs w:val="20"/>
                <w:lang w:val="en-US"/>
              </w:rPr>
              <w:t>:</w:t>
            </w:r>
          </w:p>
          <w:p w:rsidR="009407A2" w:rsidRPr="00346B5A" w:rsidRDefault="009407A2" w:rsidP="00346B5A">
            <w:pPr>
              <w:pStyle w:val="Listeafsnit"/>
              <w:numPr>
                <w:ilvl w:val="0"/>
                <w:numId w:val="4"/>
              </w:numPr>
              <w:spacing w:after="60" w:line="260" w:lineRule="atLeast"/>
              <w:ind w:left="284" w:hanging="284"/>
              <w:contextualSpacing w:val="0"/>
              <w:rPr>
                <w:rFonts w:ascii="Georgia" w:hAnsi="Georgia"/>
                <w:sz w:val="20"/>
                <w:szCs w:val="20"/>
                <w:lang w:val="en-US"/>
              </w:rPr>
            </w:pPr>
            <w:r w:rsidRPr="00346B5A">
              <w:rPr>
                <w:rFonts w:ascii="Georgia" w:hAnsi="Georgia"/>
                <w:sz w:val="20"/>
                <w:szCs w:val="20"/>
                <w:lang w:val="en-US"/>
              </w:rPr>
              <w:t xml:space="preserve">Interception </w:t>
            </w:r>
            <w:r>
              <w:rPr>
                <w:rFonts w:ascii="Georgia" w:hAnsi="Georgia"/>
                <w:sz w:val="20"/>
                <w:szCs w:val="20"/>
                <w:lang w:val="en-US"/>
              </w:rPr>
              <w:t>factor</w:t>
            </w:r>
            <w:r w:rsidRPr="00346B5A">
              <w:rPr>
                <w:rFonts w:ascii="Georgia" w:hAnsi="Georgia"/>
                <w:sz w:val="20"/>
                <w:szCs w:val="20"/>
                <w:lang w:val="en-US"/>
              </w:rPr>
              <w:t>s in Tables 4.3 and 4.4 of the NZ GD</w:t>
            </w:r>
            <w:r w:rsidRPr="006F0E7B">
              <w:rPr>
                <w:rFonts w:ascii="Times New Roman" w:hAnsi="Times New Roman" w:cs="Times New Roman"/>
                <w:sz w:val="20"/>
                <w:szCs w:val="20"/>
                <w:vertAlign w:val="superscript"/>
                <w:lang w:val="en-US"/>
              </w:rPr>
              <w:t xml:space="preserve"> </w:t>
            </w:r>
            <w:r>
              <w:rPr>
                <w:rFonts w:ascii="Times New Roman" w:hAnsi="Times New Roman" w:cs="Times New Roman"/>
                <w:sz w:val="20"/>
                <w:szCs w:val="20"/>
                <w:vertAlign w:val="superscript"/>
                <w:lang w:val="en-US"/>
              </w:rPr>
              <w:t>5</w:t>
            </w:r>
            <w:r w:rsidRPr="00346B5A">
              <w:rPr>
                <w:rFonts w:ascii="Georgia" w:hAnsi="Georgia"/>
                <w:sz w:val="20"/>
                <w:szCs w:val="20"/>
                <w:lang w:val="en-US"/>
              </w:rPr>
              <w:t xml:space="preserve">  </w:t>
            </w:r>
            <w:r w:rsidRPr="00346B5A">
              <w:rPr>
                <w:rFonts w:ascii="Georgia" w:hAnsi="Georgia"/>
                <w:i/>
                <w:sz w:val="20"/>
                <w:szCs w:val="20"/>
                <w:u w:val="single"/>
                <w:lang w:val="en-US"/>
              </w:rPr>
              <w:t>or</w:t>
            </w:r>
          </w:p>
          <w:p w:rsidR="009407A2" w:rsidRPr="00EF13EA" w:rsidRDefault="009407A2" w:rsidP="00AA6985">
            <w:pPr>
              <w:pStyle w:val="Listeafsnit"/>
              <w:numPr>
                <w:ilvl w:val="0"/>
                <w:numId w:val="4"/>
              </w:numPr>
              <w:spacing w:after="60" w:line="260" w:lineRule="atLeast"/>
              <w:ind w:left="284" w:hanging="284"/>
              <w:contextualSpacing w:val="0"/>
              <w:rPr>
                <w:rFonts w:ascii="Georgia" w:hAnsi="Georgia"/>
                <w:sz w:val="20"/>
                <w:szCs w:val="20"/>
                <w:lang w:val="en-US"/>
              </w:rPr>
            </w:pPr>
            <w:r>
              <w:rPr>
                <w:rFonts w:ascii="Georgia" w:hAnsi="Georgia"/>
                <w:sz w:val="20"/>
                <w:szCs w:val="20"/>
                <w:lang w:val="en-US"/>
              </w:rPr>
              <w:t>Deposition factor</w:t>
            </w:r>
            <w:r w:rsidRPr="00346B5A">
              <w:rPr>
                <w:rFonts w:ascii="Georgia" w:hAnsi="Georgia"/>
                <w:sz w:val="20"/>
                <w:szCs w:val="20"/>
                <w:lang w:val="en-US"/>
              </w:rPr>
              <w:t xml:space="preserve">s </w:t>
            </w:r>
            <w:r>
              <w:rPr>
                <w:rFonts w:ascii="Georgia" w:hAnsi="Georgia"/>
                <w:sz w:val="20"/>
                <w:szCs w:val="20"/>
                <w:lang w:val="en-US"/>
              </w:rPr>
              <w:t xml:space="preserve">tabulated </w:t>
            </w:r>
            <w:r w:rsidRPr="00346B5A">
              <w:rPr>
                <w:rFonts w:ascii="Georgia" w:hAnsi="Georgia"/>
                <w:sz w:val="20"/>
                <w:szCs w:val="20"/>
                <w:lang w:val="en-US"/>
              </w:rPr>
              <w:t>in Annex 14 of  the D</w:t>
            </w:r>
            <w:r>
              <w:rPr>
                <w:rFonts w:ascii="Georgia" w:hAnsi="Georgia"/>
                <w:sz w:val="20"/>
                <w:szCs w:val="20"/>
                <w:lang w:val="en-US"/>
              </w:rPr>
              <w:t xml:space="preserve">anish </w:t>
            </w:r>
            <w:r w:rsidRPr="00346B5A">
              <w:rPr>
                <w:rFonts w:ascii="Georgia" w:hAnsi="Georgia"/>
                <w:sz w:val="20"/>
                <w:szCs w:val="20"/>
                <w:lang w:val="en-US"/>
              </w:rPr>
              <w:t>EPA</w:t>
            </w:r>
            <w:r>
              <w:rPr>
                <w:rFonts w:ascii="Georgia" w:hAnsi="Georgia"/>
                <w:sz w:val="20"/>
                <w:szCs w:val="20"/>
                <w:lang w:val="en-US"/>
              </w:rPr>
              <w:t>’s</w:t>
            </w:r>
            <w:r w:rsidRPr="00346B5A">
              <w:rPr>
                <w:rFonts w:ascii="Georgia" w:hAnsi="Georgia"/>
                <w:sz w:val="20"/>
                <w:szCs w:val="20"/>
                <w:lang w:val="en-US"/>
              </w:rPr>
              <w:t xml:space="preserve"> Framework for the Assessment of Plant Protect</w:t>
            </w:r>
            <w:r>
              <w:rPr>
                <w:rFonts w:ascii="Georgia" w:hAnsi="Georgia"/>
                <w:sz w:val="20"/>
                <w:szCs w:val="20"/>
                <w:lang w:val="en-US"/>
              </w:rPr>
              <w:softHyphen/>
            </w:r>
            <w:r w:rsidRPr="00346B5A">
              <w:rPr>
                <w:rFonts w:ascii="Georgia" w:hAnsi="Georgia"/>
                <w:sz w:val="20"/>
                <w:szCs w:val="20"/>
                <w:lang w:val="en-US"/>
              </w:rPr>
              <w:t>ion Products</w:t>
            </w:r>
            <w:r>
              <w:rPr>
                <w:rFonts w:ascii="Georgia" w:hAnsi="Georgia"/>
                <w:sz w:val="20"/>
                <w:szCs w:val="20"/>
                <w:lang w:val="en-US"/>
              </w:rPr>
              <w:t xml:space="preserve"> (February 2013)</w:t>
            </w:r>
            <w:r w:rsidRPr="00346B5A">
              <w:rPr>
                <w:rFonts w:ascii="Georgia" w:hAnsi="Georgia"/>
                <w:sz w:val="20"/>
                <w:szCs w:val="20"/>
                <w:lang w:val="en-US"/>
              </w:rPr>
              <w:t xml:space="preserve">; </w:t>
            </w:r>
            <w:r>
              <w:rPr>
                <w:rFonts w:ascii="Georgia" w:hAnsi="Georgia"/>
                <w:sz w:val="20"/>
                <w:szCs w:val="20"/>
                <w:lang w:val="en-US"/>
              </w:rPr>
              <w:t xml:space="preserve">upper limit of the </w:t>
            </w:r>
            <w:r w:rsidRPr="00346B5A">
              <w:rPr>
                <w:rFonts w:ascii="Georgia" w:hAnsi="Georgia"/>
                <w:sz w:val="20"/>
                <w:szCs w:val="20"/>
                <w:lang w:val="en-US"/>
              </w:rPr>
              <w:t>80 percent confidence interval is used if available</w:t>
            </w:r>
            <w:r w:rsidRPr="006F0E7B">
              <w:rPr>
                <w:rFonts w:ascii="Times New Roman" w:hAnsi="Times New Roman" w:cs="Times New Roman"/>
                <w:sz w:val="20"/>
                <w:szCs w:val="20"/>
                <w:vertAlign w:val="superscript"/>
                <w:lang w:val="en-US"/>
              </w:rPr>
              <w:t xml:space="preserve"> </w:t>
            </w:r>
            <w:r>
              <w:rPr>
                <w:rFonts w:ascii="Times New Roman" w:hAnsi="Times New Roman" w:cs="Times New Roman"/>
                <w:sz w:val="20"/>
                <w:szCs w:val="20"/>
                <w:vertAlign w:val="superscript"/>
                <w:lang w:val="en-US"/>
              </w:rPr>
              <w:t>5</w:t>
            </w:r>
          </w:p>
        </w:tc>
      </w:tr>
      <w:tr w:rsidR="009407A2" w:rsidRPr="00F95741" w:rsidTr="00DD7407">
        <w:tc>
          <w:tcPr>
            <w:tcW w:w="1871" w:type="dxa"/>
            <w:tcBorders>
              <w:bottom w:val="nil"/>
            </w:tcBorders>
          </w:tcPr>
          <w:p w:rsidR="009407A2" w:rsidRDefault="009407A2" w:rsidP="00FF2ADD">
            <w:pPr>
              <w:spacing w:line="260" w:lineRule="atLeast"/>
              <w:rPr>
                <w:rFonts w:ascii="Georgia" w:hAnsi="Georgia"/>
                <w:sz w:val="20"/>
                <w:szCs w:val="20"/>
                <w:lang w:val="en-US"/>
              </w:rPr>
            </w:pPr>
            <w:r>
              <w:rPr>
                <w:rFonts w:ascii="Georgia" w:hAnsi="Georgia"/>
                <w:sz w:val="20"/>
                <w:szCs w:val="20"/>
                <w:lang w:val="en-US"/>
              </w:rPr>
              <w:t>Proportion of Time (PT)</w:t>
            </w:r>
          </w:p>
        </w:tc>
        <w:tc>
          <w:tcPr>
            <w:tcW w:w="3855" w:type="dxa"/>
          </w:tcPr>
          <w:p w:rsidR="009407A2" w:rsidRDefault="009407A2" w:rsidP="003B50C7">
            <w:pPr>
              <w:spacing w:after="20" w:line="260" w:lineRule="atLeast"/>
              <w:rPr>
                <w:rFonts w:ascii="Georgia" w:hAnsi="Georgia"/>
                <w:sz w:val="20"/>
                <w:szCs w:val="20"/>
                <w:lang w:val="en-US"/>
              </w:rPr>
            </w:pPr>
            <w:r w:rsidRPr="00870528">
              <w:rPr>
                <w:rFonts w:ascii="Georgia" w:hAnsi="Georgia"/>
                <w:sz w:val="20"/>
                <w:szCs w:val="20"/>
                <w:u w:val="single"/>
                <w:lang w:val="en-US"/>
              </w:rPr>
              <w:t>Acute risk</w:t>
            </w:r>
            <w:r>
              <w:rPr>
                <w:rFonts w:ascii="Georgia" w:hAnsi="Georgia"/>
                <w:sz w:val="20"/>
                <w:szCs w:val="20"/>
                <w:lang w:val="en-US"/>
              </w:rPr>
              <w:t>:</w:t>
            </w:r>
          </w:p>
          <w:p w:rsidR="009407A2" w:rsidRDefault="009407A2" w:rsidP="00FF2ADD">
            <w:pPr>
              <w:spacing w:line="260" w:lineRule="atLeast"/>
              <w:rPr>
                <w:rFonts w:ascii="Georgia" w:hAnsi="Georgia"/>
                <w:sz w:val="20"/>
                <w:szCs w:val="20"/>
                <w:lang w:val="en-US"/>
              </w:rPr>
            </w:pPr>
            <w:r>
              <w:rPr>
                <w:rFonts w:ascii="Georgia" w:hAnsi="Georgia"/>
                <w:sz w:val="20"/>
                <w:szCs w:val="20"/>
                <w:lang w:val="en-US"/>
              </w:rPr>
              <w:t>No refinement of PT is accepted; PT = 1</w:t>
            </w:r>
          </w:p>
        </w:tc>
        <w:tc>
          <w:tcPr>
            <w:tcW w:w="3855" w:type="dxa"/>
          </w:tcPr>
          <w:p w:rsidR="009407A2" w:rsidRDefault="009407A2" w:rsidP="008C4CD7">
            <w:pPr>
              <w:spacing w:after="20" w:line="260" w:lineRule="atLeast"/>
              <w:rPr>
                <w:rFonts w:ascii="Georgia" w:hAnsi="Georgia"/>
                <w:sz w:val="20"/>
                <w:szCs w:val="20"/>
                <w:lang w:val="en-US"/>
              </w:rPr>
            </w:pPr>
            <w:r w:rsidRPr="009574FF">
              <w:rPr>
                <w:rFonts w:ascii="Georgia" w:hAnsi="Georgia"/>
                <w:sz w:val="20"/>
                <w:szCs w:val="20"/>
                <w:u w:val="single"/>
                <w:lang w:val="en-US"/>
              </w:rPr>
              <w:t>Acute risk</w:t>
            </w:r>
            <w:r>
              <w:rPr>
                <w:rFonts w:ascii="Georgia" w:hAnsi="Georgia"/>
                <w:sz w:val="20"/>
                <w:szCs w:val="20"/>
                <w:lang w:val="en-US"/>
              </w:rPr>
              <w:t>:</w:t>
            </w:r>
          </w:p>
          <w:p w:rsidR="009407A2" w:rsidRDefault="009407A2" w:rsidP="008C4CD7">
            <w:pPr>
              <w:spacing w:after="60" w:line="260" w:lineRule="atLeast"/>
              <w:rPr>
                <w:rFonts w:ascii="Georgia" w:hAnsi="Georgia"/>
                <w:sz w:val="20"/>
                <w:szCs w:val="20"/>
                <w:lang w:val="en-US"/>
              </w:rPr>
            </w:pPr>
            <w:r>
              <w:rPr>
                <w:rFonts w:ascii="Georgia" w:hAnsi="Georgia"/>
                <w:sz w:val="20"/>
                <w:szCs w:val="20"/>
                <w:lang w:val="en-US"/>
              </w:rPr>
              <w:t>PT may be refined if</w:t>
            </w:r>
            <w:r w:rsidRPr="009574FF">
              <w:rPr>
                <w:rFonts w:ascii="Georgia" w:hAnsi="Georgia"/>
                <w:sz w:val="20"/>
                <w:szCs w:val="20"/>
                <w:lang w:val="en-US"/>
              </w:rPr>
              <w:t xml:space="preserve"> estimates for the species and crop scenario in question</w:t>
            </w:r>
            <w:r>
              <w:rPr>
                <w:rFonts w:ascii="Georgia" w:hAnsi="Georgia"/>
                <w:sz w:val="20"/>
                <w:szCs w:val="20"/>
                <w:lang w:val="en-US"/>
              </w:rPr>
              <w:t xml:space="preserve"> </w:t>
            </w:r>
            <w:r w:rsidRPr="009574FF">
              <w:rPr>
                <w:rFonts w:ascii="Georgia" w:hAnsi="Georgia"/>
                <w:sz w:val="20"/>
                <w:szCs w:val="20"/>
                <w:lang w:val="en-US"/>
              </w:rPr>
              <w:t>are available</w:t>
            </w:r>
            <w:r>
              <w:rPr>
                <w:rFonts w:ascii="Georgia" w:hAnsi="Georgia"/>
                <w:sz w:val="20"/>
                <w:szCs w:val="20"/>
                <w:lang w:val="en-US"/>
              </w:rPr>
              <w:t xml:space="preserve"> (from NZ GD chapter 5 or from case-specific studies)</w:t>
            </w:r>
            <w:r w:rsidRPr="009574FF">
              <w:rPr>
                <w:rFonts w:ascii="Georgia" w:hAnsi="Georgia"/>
                <w:sz w:val="20"/>
                <w:szCs w:val="20"/>
                <w:lang w:val="en-US"/>
              </w:rPr>
              <w:t xml:space="preserve">. </w:t>
            </w:r>
            <w:r>
              <w:rPr>
                <w:rFonts w:ascii="Georgia" w:hAnsi="Georgia"/>
                <w:sz w:val="20"/>
                <w:szCs w:val="20"/>
                <w:lang w:val="en-US"/>
              </w:rPr>
              <w:t>Some r</w:t>
            </w:r>
            <w:r w:rsidRPr="009574FF">
              <w:rPr>
                <w:rFonts w:ascii="Georgia" w:hAnsi="Georgia"/>
                <w:sz w:val="20"/>
                <w:szCs w:val="20"/>
                <w:lang w:val="en-US"/>
              </w:rPr>
              <w:t>ead-across between structurally similar crops is acceptable</w:t>
            </w:r>
            <w:r>
              <w:rPr>
                <w:rFonts w:ascii="Georgia" w:hAnsi="Georgia"/>
                <w:sz w:val="20"/>
                <w:szCs w:val="20"/>
                <w:lang w:val="en-US"/>
              </w:rPr>
              <w:t xml:space="preserve"> but must</w:t>
            </w:r>
            <w:r w:rsidRPr="009574FF">
              <w:rPr>
                <w:rFonts w:ascii="Georgia" w:hAnsi="Georgia"/>
                <w:sz w:val="20"/>
                <w:szCs w:val="20"/>
                <w:lang w:val="en-US"/>
              </w:rPr>
              <w:t xml:space="preserve"> be </w:t>
            </w:r>
            <w:r>
              <w:rPr>
                <w:rFonts w:ascii="Georgia" w:hAnsi="Georgia"/>
                <w:sz w:val="20"/>
                <w:szCs w:val="20"/>
                <w:lang w:val="en-US"/>
              </w:rPr>
              <w:t xml:space="preserve">duly </w:t>
            </w:r>
            <w:r w:rsidRPr="009574FF">
              <w:rPr>
                <w:rFonts w:ascii="Georgia" w:hAnsi="Georgia"/>
                <w:sz w:val="20"/>
                <w:szCs w:val="20"/>
                <w:lang w:val="en-US"/>
              </w:rPr>
              <w:t>justified</w:t>
            </w:r>
            <w:r>
              <w:rPr>
                <w:rFonts w:ascii="Georgia" w:hAnsi="Georgia"/>
                <w:sz w:val="20"/>
                <w:szCs w:val="20"/>
                <w:lang w:val="en-US"/>
              </w:rPr>
              <w:t xml:space="preserve"> in each case</w:t>
            </w:r>
          </w:p>
          <w:p w:rsidR="009407A2" w:rsidRDefault="009407A2" w:rsidP="003F504C">
            <w:pPr>
              <w:spacing w:after="60" w:line="260" w:lineRule="atLeast"/>
              <w:rPr>
                <w:rFonts w:ascii="Georgia" w:hAnsi="Georgia"/>
                <w:sz w:val="20"/>
                <w:szCs w:val="20"/>
                <w:lang w:val="en-US"/>
              </w:rPr>
            </w:pPr>
            <w:r>
              <w:rPr>
                <w:rFonts w:ascii="Georgia" w:hAnsi="Georgia"/>
                <w:sz w:val="20"/>
                <w:szCs w:val="20"/>
                <w:lang w:val="en-US"/>
              </w:rPr>
              <w:t>The 90</w:t>
            </w:r>
            <w:r w:rsidRPr="00D56E5A">
              <w:rPr>
                <w:rFonts w:ascii="Georgia" w:hAnsi="Georgia"/>
                <w:sz w:val="20"/>
                <w:szCs w:val="20"/>
                <w:vertAlign w:val="superscript"/>
                <w:lang w:val="en-US"/>
              </w:rPr>
              <w:t>th</w:t>
            </w:r>
            <w:r>
              <w:rPr>
                <w:rFonts w:ascii="Georgia" w:hAnsi="Georgia"/>
                <w:sz w:val="20"/>
                <w:szCs w:val="20"/>
                <w:lang w:val="en-US"/>
              </w:rPr>
              <w:t xml:space="preserve"> percentile of the PT distribution for “consumers” is used</w:t>
            </w:r>
          </w:p>
        </w:tc>
      </w:tr>
      <w:tr w:rsidR="009407A2" w:rsidRPr="00F95741" w:rsidTr="00DD7407">
        <w:tc>
          <w:tcPr>
            <w:tcW w:w="1871" w:type="dxa"/>
            <w:tcBorders>
              <w:top w:val="nil"/>
            </w:tcBorders>
          </w:tcPr>
          <w:p w:rsidR="009407A2" w:rsidRDefault="009407A2" w:rsidP="00FF2ADD">
            <w:pPr>
              <w:spacing w:line="260" w:lineRule="atLeast"/>
              <w:rPr>
                <w:rFonts w:ascii="Georgia" w:hAnsi="Georgia"/>
                <w:sz w:val="20"/>
                <w:szCs w:val="20"/>
                <w:lang w:val="en-US"/>
              </w:rPr>
            </w:pPr>
          </w:p>
        </w:tc>
        <w:tc>
          <w:tcPr>
            <w:tcW w:w="3855" w:type="dxa"/>
          </w:tcPr>
          <w:p w:rsidR="009407A2" w:rsidRDefault="009407A2" w:rsidP="003B50C7">
            <w:pPr>
              <w:spacing w:after="20" w:line="260" w:lineRule="atLeast"/>
              <w:rPr>
                <w:rFonts w:ascii="Georgia" w:hAnsi="Georgia"/>
                <w:sz w:val="20"/>
                <w:szCs w:val="20"/>
                <w:lang w:val="en-US"/>
              </w:rPr>
            </w:pPr>
            <w:r w:rsidRPr="001550B4">
              <w:rPr>
                <w:rFonts w:ascii="Georgia" w:hAnsi="Georgia"/>
                <w:sz w:val="20"/>
                <w:szCs w:val="20"/>
                <w:u w:val="single"/>
                <w:lang w:val="en-US"/>
              </w:rPr>
              <w:t>Long-term (reproductive) risk</w:t>
            </w:r>
            <w:r>
              <w:rPr>
                <w:rFonts w:ascii="Georgia" w:hAnsi="Georgia"/>
                <w:sz w:val="20"/>
                <w:szCs w:val="20"/>
                <w:lang w:val="en-US"/>
              </w:rPr>
              <w:t>:</w:t>
            </w:r>
          </w:p>
          <w:p w:rsidR="009407A2" w:rsidRDefault="009407A2" w:rsidP="003B50C7">
            <w:pPr>
              <w:spacing w:after="60" w:line="260" w:lineRule="atLeast"/>
              <w:rPr>
                <w:rFonts w:ascii="Georgia" w:hAnsi="Georgia"/>
                <w:sz w:val="20"/>
                <w:szCs w:val="20"/>
                <w:lang w:val="en-US"/>
              </w:rPr>
            </w:pPr>
            <w:r>
              <w:rPr>
                <w:rFonts w:ascii="Georgia" w:hAnsi="Georgia"/>
                <w:sz w:val="20"/>
                <w:szCs w:val="20"/>
                <w:lang w:val="en-US"/>
              </w:rPr>
              <w:t>PT may be refined if</w:t>
            </w:r>
            <w:r w:rsidRPr="009574FF">
              <w:rPr>
                <w:rFonts w:ascii="Georgia" w:hAnsi="Georgia"/>
                <w:sz w:val="20"/>
                <w:szCs w:val="20"/>
                <w:lang w:val="en-US"/>
              </w:rPr>
              <w:t xml:space="preserve"> estimates for the species and crop scenario in question</w:t>
            </w:r>
            <w:r>
              <w:rPr>
                <w:rFonts w:ascii="Georgia" w:hAnsi="Georgia"/>
                <w:sz w:val="20"/>
                <w:szCs w:val="20"/>
                <w:lang w:val="en-US"/>
              </w:rPr>
              <w:t xml:space="preserve"> </w:t>
            </w:r>
            <w:r w:rsidRPr="009574FF">
              <w:rPr>
                <w:rFonts w:ascii="Georgia" w:hAnsi="Georgia"/>
                <w:sz w:val="20"/>
                <w:szCs w:val="20"/>
                <w:lang w:val="en-US"/>
              </w:rPr>
              <w:t>are available</w:t>
            </w:r>
            <w:r>
              <w:rPr>
                <w:rFonts w:ascii="Georgia" w:hAnsi="Georgia"/>
                <w:sz w:val="20"/>
                <w:szCs w:val="20"/>
                <w:lang w:val="en-US"/>
              </w:rPr>
              <w:t xml:space="preserve"> (from NZ GD chapter 5 or from case-specific studies)</w:t>
            </w:r>
            <w:r w:rsidRPr="009574FF">
              <w:rPr>
                <w:rFonts w:ascii="Georgia" w:hAnsi="Georgia"/>
                <w:sz w:val="20"/>
                <w:szCs w:val="20"/>
                <w:lang w:val="en-US"/>
              </w:rPr>
              <w:t xml:space="preserve">. </w:t>
            </w:r>
            <w:r>
              <w:rPr>
                <w:rFonts w:ascii="Georgia" w:hAnsi="Georgia"/>
                <w:sz w:val="20"/>
                <w:szCs w:val="20"/>
                <w:lang w:val="en-US"/>
              </w:rPr>
              <w:t>Some r</w:t>
            </w:r>
            <w:r w:rsidRPr="009574FF">
              <w:rPr>
                <w:rFonts w:ascii="Georgia" w:hAnsi="Georgia"/>
                <w:sz w:val="20"/>
                <w:szCs w:val="20"/>
                <w:lang w:val="en-US"/>
              </w:rPr>
              <w:t xml:space="preserve">ead-across </w:t>
            </w:r>
            <w:r w:rsidRPr="009574FF">
              <w:rPr>
                <w:rFonts w:ascii="Georgia" w:hAnsi="Georgia"/>
                <w:sz w:val="20"/>
                <w:szCs w:val="20"/>
                <w:lang w:val="en-US"/>
              </w:rPr>
              <w:lastRenderedPageBreak/>
              <w:t>between structurally similar crops is acceptable</w:t>
            </w:r>
            <w:r>
              <w:rPr>
                <w:rFonts w:ascii="Georgia" w:hAnsi="Georgia"/>
                <w:sz w:val="20"/>
                <w:szCs w:val="20"/>
                <w:lang w:val="en-US"/>
              </w:rPr>
              <w:t xml:space="preserve"> but must</w:t>
            </w:r>
            <w:r w:rsidRPr="009574FF">
              <w:rPr>
                <w:rFonts w:ascii="Georgia" w:hAnsi="Georgia"/>
                <w:sz w:val="20"/>
                <w:szCs w:val="20"/>
                <w:lang w:val="en-US"/>
              </w:rPr>
              <w:t xml:space="preserve"> be </w:t>
            </w:r>
            <w:r>
              <w:rPr>
                <w:rFonts w:ascii="Georgia" w:hAnsi="Georgia"/>
                <w:sz w:val="20"/>
                <w:szCs w:val="20"/>
                <w:lang w:val="en-US"/>
              </w:rPr>
              <w:t xml:space="preserve">duly </w:t>
            </w:r>
            <w:r w:rsidRPr="009574FF">
              <w:rPr>
                <w:rFonts w:ascii="Georgia" w:hAnsi="Georgia"/>
                <w:sz w:val="20"/>
                <w:szCs w:val="20"/>
                <w:lang w:val="en-US"/>
              </w:rPr>
              <w:t>justified</w:t>
            </w:r>
            <w:r>
              <w:rPr>
                <w:rFonts w:ascii="Georgia" w:hAnsi="Georgia"/>
                <w:sz w:val="20"/>
                <w:szCs w:val="20"/>
                <w:lang w:val="en-US"/>
              </w:rPr>
              <w:t xml:space="preserve"> in each case</w:t>
            </w:r>
          </w:p>
          <w:p w:rsidR="009407A2" w:rsidRPr="006A25C9" w:rsidRDefault="009407A2" w:rsidP="00AA6985">
            <w:pPr>
              <w:spacing w:after="60" w:line="260" w:lineRule="atLeast"/>
              <w:rPr>
                <w:rFonts w:ascii="Georgia" w:hAnsi="Georgia"/>
                <w:sz w:val="20"/>
                <w:szCs w:val="20"/>
                <w:lang w:val="en-US"/>
              </w:rPr>
            </w:pPr>
            <w:r>
              <w:rPr>
                <w:rFonts w:ascii="Georgia" w:hAnsi="Georgia"/>
                <w:sz w:val="20"/>
                <w:szCs w:val="20"/>
                <w:lang w:val="en-US"/>
              </w:rPr>
              <w:t>The 90</w:t>
            </w:r>
            <w:r w:rsidRPr="00D56E5A">
              <w:rPr>
                <w:rFonts w:ascii="Georgia" w:hAnsi="Georgia"/>
                <w:sz w:val="20"/>
                <w:szCs w:val="20"/>
                <w:vertAlign w:val="superscript"/>
                <w:lang w:val="en-US"/>
              </w:rPr>
              <w:t>th</w:t>
            </w:r>
            <w:r>
              <w:rPr>
                <w:rFonts w:ascii="Georgia" w:hAnsi="Georgia"/>
                <w:sz w:val="20"/>
                <w:szCs w:val="20"/>
                <w:lang w:val="en-US"/>
              </w:rPr>
              <w:t xml:space="preserve"> percentile of the PT distribution for “consumers” is used</w:t>
            </w:r>
            <w:r w:rsidRPr="006A25C9">
              <w:rPr>
                <w:rFonts w:ascii="Times New Roman" w:hAnsi="Times New Roman" w:cs="Times New Roman"/>
                <w:sz w:val="20"/>
                <w:szCs w:val="20"/>
                <w:vertAlign w:val="superscript"/>
                <w:lang w:val="en-US"/>
              </w:rPr>
              <w:t xml:space="preserve"> </w:t>
            </w:r>
            <w:r>
              <w:rPr>
                <w:rFonts w:ascii="Times New Roman" w:hAnsi="Times New Roman" w:cs="Times New Roman"/>
                <w:sz w:val="20"/>
                <w:szCs w:val="20"/>
                <w:vertAlign w:val="superscript"/>
                <w:lang w:val="en-US"/>
              </w:rPr>
              <w:t>6</w:t>
            </w:r>
          </w:p>
        </w:tc>
        <w:tc>
          <w:tcPr>
            <w:tcW w:w="3855" w:type="dxa"/>
          </w:tcPr>
          <w:p w:rsidR="009407A2" w:rsidRDefault="009407A2" w:rsidP="008C4CD7">
            <w:pPr>
              <w:spacing w:after="20" w:line="260" w:lineRule="atLeast"/>
              <w:rPr>
                <w:rFonts w:ascii="Georgia" w:hAnsi="Georgia"/>
                <w:sz w:val="20"/>
                <w:szCs w:val="20"/>
                <w:lang w:val="en-US"/>
              </w:rPr>
            </w:pPr>
            <w:r w:rsidRPr="001550B4">
              <w:rPr>
                <w:rFonts w:ascii="Georgia" w:hAnsi="Georgia"/>
                <w:sz w:val="20"/>
                <w:szCs w:val="20"/>
                <w:u w:val="single"/>
                <w:lang w:val="en-US"/>
              </w:rPr>
              <w:lastRenderedPageBreak/>
              <w:t>Long-term (reproductive) risk</w:t>
            </w:r>
            <w:r>
              <w:rPr>
                <w:rFonts w:ascii="Georgia" w:hAnsi="Georgia"/>
                <w:sz w:val="20"/>
                <w:szCs w:val="20"/>
                <w:lang w:val="en-US"/>
              </w:rPr>
              <w:t>:</w:t>
            </w:r>
          </w:p>
          <w:p w:rsidR="009407A2" w:rsidRDefault="009407A2" w:rsidP="008C4CD7">
            <w:pPr>
              <w:spacing w:after="60" w:line="260" w:lineRule="atLeast"/>
              <w:rPr>
                <w:rFonts w:ascii="Georgia" w:hAnsi="Georgia"/>
                <w:sz w:val="20"/>
                <w:szCs w:val="20"/>
                <w:lang w:val="en-US"/>
              </w:rPr>
            </w:pPr>
            <w:r>
              <w:rPr>
                <w:rFonts w:ascii="Georgia" w:hAnsi="Georgia"/>
                <w:sz w:val="20"/>
                <w:szCs w:val="20"/>
                <w:lang w:val="en-US"/>
              </w:rPr>
              <w:t>PT may be refined if</w:t>
            </w:r>
            <w:r w:rsidRPr="009574FF">
              <w:rPr>
                <w:rFonts w:ascii="Georgia" w:hAnsi="Georgia"/>
                <w:sz w:val="20"/>
                <w:szCs w:val="20"/>
                <w:lang w:val="en-US"/>
              </w:rPr>
              <w:t xml:space="preserve"> estimates for the species and crop scenario in question</w:t>
            </w:r>
            <w:r>
              <w:rPr>
                <w:rFonts w:ascii="Georgia" w:hAnsi="Georgia"/>
                <w:sz w:val="20"/>
                <w:szCs w:val="20"/>
                <w:lang w:val="en-US"/>
              </w:rPr>
              <w:t xml:space="preserve"> </w:t>
            </w:r>
            <w:r w:rsidRPr="009574FF">
              <w:rPr>
                <w:rFonts w:ascii="Georgia" w:hAnsi="Georgia"/>
                <w:sz w:val="20"/>
                <w:szCs w:val="20"/>
                <w:lang w:val="en-US"/>
              </w:rPr>
              <w:t>are available</w:t>
            </w:r>
            <w:r>
              <w:rPr>
                <w:rFonts w:ascii="Georgia" w:hAnsi="Georgia"/>
                <w:sz w:val="20"/>
                <w:szCs w:val="20"/>
                <w:lang w:val="en-US"/>
              </w:rPr>
              <w:t xml:space="preserve"> (as described for the Core assessment)</w:t>
            </w:r>
          </w:p>
          <w:p w:rsidR="009407A2" w:rsidRDefault="009407A2" w:rsidP="008C4CD7">
            <w:pPr>
              <w:spacing w:line="260" w:lineRule="atLeast"/>
              <w:rPr>
                <w:rFonts w:ascii="Georgia" w:hAnsi="Georgia"/>
                <w:sz w:val="20"/>
                <w:szCs w:val="20"/>
                <w:lang w:val="en-US"/>
              </w:rPr>
            </w:pPr>
            <w:r>
              <w:rPr>
                <w:rFonts w:ascii="Georgia" w:hAnsi="Georgia"/>
                <w:sz w:val="20"/>
                <w:szCs w:val="20"/>
                <w:lang w:val="en-US"/>
              </w:rPr>
              <w:lastRenderedPageBreak/>
              <w:t>Mean PT for “consumers” is used</w:t>
            </w:r>
          </w:p>
          <w:p w:rsidR="009407A2" w:rsidRDefault="009407A2" w:rsidP="00FF2ADD">
            <w:pPr>
              <w:spacing w:line="260" w:lineRule="atLeast"/>
              <w:rPr>
                <w:rFonts w:ascii="Georgia" w:hAnsi="Georgia"/>
                <w:sz w:val="20"/>
                <w:szCs w:val="20"/>
                <w:lang w:val="en-US"/>
              </w:rPr>
            </w:pPr>
          </w:p>
        </w:tc>
      </w:tr>
    </w:tbl>
    <w:p w:rsidR="002F404C" w:rsidRDefault="006A25C9" w:rsidP="00115BA8">
      <w:pPr>
        <w:spacing w:after="60" w:line="240" w:lineRule="atLeast"/>
        <w:rPr>
          <w:rStyle w:val="Kommentarhenvisning"/>
          <w:rFonts w:ascii="Georgia" w:hAnsi="Georgia"/>
          <w:sz w:val="18"/>
          <w:szCs w:val="18"/>
          <w:lang w:val="en-US"/>
        </w:rPr>
      </w:pPr>
      <w:r w:rsidRPr="006A25C9">
        <w:rPr>
          <w:rFonts w:ascii="Times New Roman" w:hAnsi="Times New Roman" w:cs="Times New Roman"/>
          <w:sz w:val="18"/>
          <w:szCs w:val="18"/>
          <w:vertAlign w:val="superscript"/>
          <w:lang w:val="en-US"/>
        </w:rPr>
        <w:lastRenderedPageBreak/>
        <w:t>1</w:t>
      </w:r>
      <w:r w:rsidR="00143EB6" w:rsidRPr="006A25C9">
        <w:rPr>
          <w:rFonts w:ascii="Times New Roman" w:hAnsi="Times New Roman" w:cs="Times New Roman"/>
          <w:sz w:val="18"/>
          <w:szCs w:val="18"/>
          <w:lang w:val="en-US"/>
        </w:rPr>
        <w:t xml:space="preserve"> </w:t>
      </w:r>
      <w:r w:rsidR="00143EB6" w:rsidRPr="00143EB6">
        <w:rPr>
          <w:rFonts w:ascii="Georgia" w:hAnsi="Georgia"/>
          <w:sz w:val="18"/>
          <w:szCs w:val="18"/>
          <w:lang w:val="en-US"/>
        </w:rPr>
        <w:t>Willow warbler would still be relevant for u</w:t>
      </w:r>
      <w:r w:rsidR="00143EB6" w:rsidRPr="00564DAE">
        <w:rPr>
          <w:rFonts w:ascii="Georgia" w:hAnsi="Georgia"/>
          <w:sz w:val="18"/>
          <w:szCs w:val="18"/>
          <w:lang w:val="en-US"/>
        </w:rPr>
        <w:t xml:space="preserve">se in </w:t>
      </w:r>
      <w:r w:rsidR="008B5BBD" w:rsidRPr="00564DAE">
        <w:rPr>
          <w:rStyle w:val="Kommentarhenvisning"/>
          <w:rFonts w:ascii="Georgia" w:hAnsi="Georgia"/>
          <w:sz w:val="18"/>
          <w:szCs w:val="18"/>
          <w:lang w:val="en-US"/>
        </w:rPr>
        <w:t xml:space="preserve">energy crops </w:t>
      </w:r>
      <w:r w:rsidR="009C7AAE">
        <w:rPr>
          <w:rStyle w:val="Kommentarhenvisning"/>
          <w:rFonts w:ascii="Georgia" w:hAnsi="Georgia"/>
          <w:sz w:val="18"/>
          <w:szCs w:val="18"/>
          <w:lang w:val="en-US"/>
        </w:rPr>
        <w:t>(</w:t>
      </w:r>
      <w:proofErr w:type="spellStart"/>
      <w:r w:rsidR="009C7AAE">
        <w:rPr>
          <w:rStyle w:val="Kommentarhenvisning"/>
          <w:rFonts w:ascii="Georgia" w:hAnsi="Georgia"/>
          <w:sz w:val="18"/>
          <w:szCs w:val="18"/>
          <w:lang w:val="en-US"/>
        </w:rPr>
        <w:t>f.x</w:t>
      </w:r>
      <w:proofErr w:type="spellEnd"/>
      <w:r w:rsidR="009C7AAE">
        <w:rPr>
          <w:rStyle w:val="Kommentarhenvisning"/>
          <w:rFonts w:ascii="Georgia" w:hAnsi="Georgia"/>
          <w:sz w:val="18"/>
          <w:szCs w:val="18"/>
          <w:lang w:val="en-US"/>
        </w:rPr>
        <w:t>.</w:t>
      </w:r>
      <w:r w:rsidR="008B5BBD" w:rsidRPr="00564DAE">
        <w:rPr>
          <w:rStyle w:val="Kommentarhenvisning"/>
          <w:rFonts w:ascii="Georgia" w:hAnsi="Georgia"/>
          <w:sz w:val="18"/>
          <w:szCs w:val="18"/>
          <w:lang w:val="en-US"/>
        </w:rPr>
        <w:t xml:space="preserve"> </w:t>
      </w:r>
      <w:r w:rsidR="009C7AAE">
        <w:rPr>
          <w:rStyle w:val="Kommentarhenvisning"/>
          <w:rFonts w:ascii="Georgia" w:hAnsi="Georgia"/>
          <w:sz w:val="18"/>
          <w:szCs w:val="18"/>
          <w:lang w:val="en-US"/>
        </w:rPr>
        <w:t xml:space="preserve">energy crops like </w:t>
      </w:r>
      <w:r w:rsidR="008B5BBD" w:rsidRPr="00564DAE">
        <w:rPr>
          <w:rStyle w:val="Kommentarhenvisning"/>
          <w:rFonts w:ascii="Georgia" w:hAnsi="Georgia"/>
          <w:sz w:val="18"/>
          <w:szCs w:val="18"/>
          <w:lang w:val="en-US"/>
        </w:rPr>
        <w:t>willow or poplar</w:t>
      </w:r>
      <w:r w:rsidR="009C7AAE">
        <w:rPr>
          <w:rStyle w:val="Kommentarhenvisning"/>
          <w:rFonts w:ascii="Georgia" w:hAnsi="Georgia"/>
          <w:sz w:val="18"/>
          <w:szCs w:val="18"/>
          <w:lang w:val="en-US"/>
        </w:rPr>
        <w:t>)</w:t>
      </w:r>
      <w:r w:rsidR="008B5BBD" w:rsidRPr="00564DAE">
        <w:rPr>
          <w:rStyle w:val="Kommentarhenvisning"/>
          <w:rFonts w:ascii="Georgia" w:hAnsi="Georgia"/>
          <w:sz w:val="18"/>
          <w:szCs w:val="18"/>
          <w:lang w:val="en-US"/>
        </w:rPr>
        <w:t xml:space="preserve">. </w:t>
      </w:r>
    </w:p>
    <w:p w:rsidR="00115BA8" w:rsidRPr="00564DAE" w:rsidRDefault="00115BA8" w:rsidP="00115BA8">
      <w:pPr>
        <w:spacing w:after="60" w:line="240" w:lineRule="atLeast"/>
        <w:rPr>
          <w:rFonts w:ascii="Georgia" w:hAnsi="Georgia"/>
          <w:sz w:val="18"/>
          <w:szCs w:val="18"/>
          <w:lang w:val="en-US"/>
        </w:rPr>
      </w:pPr>
      <w:r w:rsidRPr="00115BA8">
        <w:rPr>
          <w:rFonts w:ascii="Times New Roman" w:hAnsi="Times New Roman" w:cs="Times New Roman"/>
          <w:sz w:val="18"/>
          <w:szCs w:val="18"/>
          <w:vertAlign w:val="superscript"/>
          <w:lang w:val="en-US"/>
        </w:rPr>
        <w:t>2</w:t>
      </w:r>
      <w:r w:rsidRPr="00115BA8">
        <w:rPr>
          <w:rFonts w:ascii="Georgia" w:hAnsi="Georgia"/>
          <w:sz w:val="18"/>
          <w:szCs w:val="18"/>
          <w:vertAlign w:val="superscript"/>
          <w:lang w:val="en-US"/>
        </w:rPr>
        <w:t xml:space="preserve"> </w:t>
      </w:r>
      <w:r>
        <w:rPr>
          <w:rFonts w:ascii="Georgia" w:hAnsi="Georgia"/>
          <w:sz w:val="18"/>
          <w:szCs w:val="18"/>
          <w:lang w:val="en-US"/>
        </w:rPr>
        <w:t>Even if EFSA peer review expert meetings have confirmed new RUD values, their validity under Danish conditions has to be assessed.</w:t>
      </w:r>
    </w:p>
    <w:p w:rsidR="00322CBB" w:rsidRDefault="00115BA8" w:rsidP="00115BA8">
      <w:pPr>
        <w:spacing w:after="60" w:line="240" w:lineRule="atLeast"/>
        <w:rPr>
          <w:rFonts w:ascii="Georgia" w:hAnsi="Georgia"/>
          <w:sz w:val="18"/>
          <w:szCs w:val="18"/>
          <w:lang w:val="en-US"/>
        </w:rPr>
      </w:pPr>
      <w:r>
        <w:rPr>
          <w:rFonts w:ascii="Times New Roman" w:hAnsi="Times New Roman" w:cs="Times New Roman"/>
          <w:sz w:val="18"/>
          <w:szCs w:val="18"/>
          <w:vertAlign w:val="superscript"/>
          <w:lang w:val="en-US"/>
        </w:rPr>
        <w:t>3</w:t>
      </w:r>
      <w:r w:rsidR="00322CBB" w:rsidRPr="006A25C9">
        <w:rPr>
          <w:rFonts w:ascii="Times New Roman" w:hAnsi="Times New Roman" w:cs="Times New Roman"/>
          <w:sz w:val="18"/>
          <w:szCs w:val="18"/>
          <w:lang w:val="en-US"/>
        </w:rPr>
        <w:t xml:space="preserve"> </w:t>
      </w:r>
      <w:r w:rsidR="00322CBB">
        <w:rPr>
          <w:rFonts w:ascii="Georgia" w:hAnsi="Georgia"/>
          <w:sz w:val="18"/>
          <w:szCs w:val="18"/>
          <w:lang w:val="en-US"/>
        </w:rPr>
        <w:t>Standard RUDs for plant shoots and leaves, and to some extent also for foliar and ground-dwelling arthropods, are considered more reliable than the standard RUDs for other food items.</w:t>
      </w:r>
    </w:p>
    <w:p w:rsidR="00D505D2" w:rsidRDefault="00115BA8" w:rsidP="00115BA8">
      <w:pPr>
        <w:spacing w:after="60" w:line="240" w:lineRule="atLeast"/>
        <w:rPr>
          <w:rFonts w:ascii="Georgia" w:hAnsi="Georgia"/>
          <w:sz w:val="18"/>
          <w:szCs w:val="18"/>
          <w:lang w:val="en-US"/>
        </w:rPr>
      </w:pPr>
      <w:r>
        <w:rPr>
          <w:rFonts w:ascii="Times New Roman" w:hAnsi="Times New Roman" w:cs="Times New Roman"/>
          <w:sz w:val="18"/>
          <w:szCs w:val="18"/>
          <w:vertAlign w:val="superscript"/>
          <w:lang w:val="en-US"/>
        </w:rPr>
        <w:t>4</w:t>
      </w:r>
      <w:r w:rsidR="00D505D2">
        <w:rPr>
          <w:rFonts w:ascii="Georgia" w:hAnsi="Georgia"/>
          <w:sz w:val="18"/>
          <w:szCs w:val="18"/>
          <w:lang w:val="en-US"/>
        </w:rPr>
        <w:t xml:space="preserve"> In </w:t>
      </w:r>
      <w:r w:rsidR="009C7AAE">
        <w:rPr>
          <w:rFonts w:ascii="Georgia" w:hAnsi="Georgia"/>
          <w:sz w:val="18"/>
          <w:szCs w:val="18"/>
          <w:lang w:val="en-US"/>
        </w:rPr>
        <w:t>cases</w:t>
      </w:r>
      <w:r w:rsidR="00D505D2">
        <w:rPr>
          <w:rFonts w:ascii="Georgia" w:hAnsi="Georgia"/>
          <w:sz w:val="18"/>
          <w:szCs w:val="18"/>
          <w:lang w:val="en-US"/>
        </w:rPr>
        <w:t xml:space="preserve"> a lower number of data, which indicate a very rapid decline, are available, other relevant information may be used a supporting data (e.g. data on hydrolysis or </w:t>
      </w:r>
      <w:proofErr w:type="spellStart"/>
      <w:r w:rsidR="00D505D2" w:rsidRPr="00B70C41">
        <w:rPr>
          <w:rFonts w:ascii="Georgia" w:hAnsi="Georgia"/>
          <w:sz w:val="18"/>
          <w:szCs w:val="18"/>
          <w:lang w:val="en-US"/>
        </w:rPr>
        <w:t>volatilisation</w:t>
      </w:r>
      <w:proofErr w:type="spellEnd"/>
      <w:r w:rsidR="00D505D2">
        <w:rPr>
          <w:rFonts w:ascii="Georgia" w:hAnsi="Georgia"/>
          <w:sz w:val="18"/>
          <w:szCs w:val="18"/>
          <w:lang w:val="en-US"/>
        </w:rPr>
        <w:t>).</w:t>
      </w:r>
    </w:p>
    <w:p w:rsidR="0006197B" w:rsidRDefault="00115BA8" w:rsidP="00115BA8">
      <w:pPr>
        <w:spacing w:after="60" w:line="240" w:lineRule="atLeast"/>
        <w:rPr>
          <w:rFonts w:ascii="Georgia" w:hAnsi="Georgia"/>
          <w:sz w:val="18"/>
          <w:szCs w:val="18"/>
          <w:lang w:val="en-US"/>
        </w:rPr>
      </w:pPr>
      <w:r>
        <w:rPr>
          <w:rFonts w:ascii="Times New Roman" w:hAnsi="Times New Roman" w:cs="Times New Roman"/>
          <w:sz w:val="18"/>
          <w:szCs w:val="18"/>
          <w:vertAlign w:val="superscript"/>
          <w:lang w:val="en-US"/>
        </w:rPr>
        <w:t>5</w:t>
      </w:r>
      <w:r w:rsidR="0006197B">
        <w:rPr>
          <w:rFonts w:ascii="Georgia" w:hAnsi="Georgia"/>
          <w:sz w:val="18"/>
          <w:szCs w:val="18"/>
          <w:lang w:val="en-US"/>
        </w:rPr>
        <w:t xml:space="preserve"> It shall be borne in mind that these interception/deposition factors are intended to describe the amount of pesticide that reaches the soil surface and that the deposition on weeds and ground-dwelling arthropods may </w:t>
      </w:r>
      <w:r w:rsidR="001F6FA3">
        <w:rPr>
          <w:rFonts w:ascii="Georgia" w:hAnsi="Georgia"/>
          <w:sz w:val="18"/>
          <w:szCs w:val="18"/>
          <w:lang w:val="en-US"/>
        </w:rPr>
        <w:t xml:space="preserve">in some cases </w:t>
      </w:r>
      <w:r w:rsidR="0006197B">
        <w:rPr>
          <w:rFonts w:ascii="Georgia" w:hAnsi="Georgia"/>
          <w:sz w:val="18"/>
          <w:szCs w:val="18"/>
          <w:lang w:val="en-US"/>
        </w:rPr>
        <w:t>be higher. For instance, although a</w:t>
      </w:r>
      <w:r w:rsidR="001F6FA3">
        <w:rPr>
          <w:rFonts w:ascii="Georgia" w:hAnsi="Georgia"/>
          <w:sz w:val="18"/>
          <w:szCs w:val="18"/>
          <w:lang w:val="en-US"/>
        </w:rPr>
        <w:t xml:space="preserve">n interception factor of 90 % is </w:t>
      </w:r>
      <w:r w:rsidR="00DC59CD">
        <w:rPr>
          <w:rFonts w:ascii="Georgia" w:hAnsi="Georgia"/>
          <w:sz w:val="18"/>
          <w:szCs w:val="18"/>
          <w:lang w:val="en-US"/>
        </w:rPr>
        <w:t xml:space="preserve">stated as </w:t>
      </w:r>
      <w:r w:rsidR="001F6FA3">
        <w:rPr>
          <w:rFonts w:ascii="Georgia" w:hAnsi="Georgia"/>
          <w:sz w:val="18"/>
          <w:szCs w:val="18"/>
          <w:lang w:val="en-US"/>
        </w:rPr>
        <w:t>applicable for spraying on established turf, deposition on ground-dwelling arthropods will most probably be higher than 10 % of the applied dose.</w:t>
      </w:r>
    </w:p>
    <w:p w:rsidR="00D56E5A" w:rsidRDefault="00115BA8" w:rsidP="00115BA8">
      <w:pPr>
        <w:spacing w:after="60" w:line="240" w:lineRule="atLeast"/>
        <w:rPr>
          <w:rFonts w:ascii="Georgia" w:hAnsi="Georgia"/>
          <w:sz w:val="18"/>
          <w:szCs w:val="18"/>
          <w:lang w:val="en-US"/>
        </w:rPr>
      </w:pPr>
      <w:r>
        <w:rPr>
          <w:rFonts w:ascii="Times New Roman" w:hAnsi="Times New Roman" w:cs="Times New Roman"/>
          <w:sz w:val="18"/>
          <w:szCs w:val="18"/>
          <w:vertAlign w:val="superscript"/>
          <w:lang w:val="en-US"/>
        </w:rPr>
        <w:t>6</w:t>
      </w:r>
      <w:r w:rsidR="00D56E5A">
        <w:rPr>
          <w:rFonts w:ascii="Georgia" w:hAnsi="Georgia"/>
          <w:sz w:val="18"/>
          <w:szCs w:val="18"/>
          <w:lang w:val="en-US"/>
        </w:rPr>
        <w:t xml:space="preserve"> </w:t>
      </w:r>
      <w:r w:rsidR="003B50C7">
        <w:rPr>
          <w:rFonts w:ascii="Georgia" w:hAnsi="Georgia"/>
          <w:sz w:val="18"/>
          <w:szCs w:val="18"/>
          <w:lang w:val="en-US"/>
        </w:rPr>
        <w:t>The 90</w:t>
      </w:r>
      <w:r w:rsidR="003B50C7" w:rsidRPr="003B50C7">
        <w:rPr>
          <w:rFonts w:ascii="Georgia" w:hAnsi="Georgia"/>
          <w:sz w:val="18"/>
          <w:szCs w:val="18"/>
          <w:vertAlign w:val="superscript"/>
          <w:lang w:val="en-US"/>
        </w:rPr>
        <w:t>th</w:t>
      </w:r>
      <w:r w:rsidR="003B50C7">
        <w:rPr>
          <w:rFonts w:ascii="Georgia" w:hAnsi="Georgia"/>
          <w:sz w:val="18"/>
          <w:szCs w:val="18"/>
          <w:lang w:val="en-US"/>
        </w:rPr>
        <w:t xml:space="preserve"> percentile for </w:t>
      </w:r>
      <w:r w:rsidR="00D56E5A">
        <w:rPr>
          <w:rFonts w:ascii="Georgia" w:hAnsi="Georgia"/>
          <w:sz w:val="18"/>
          <w:szCs w:val="18"/>
          <w:lang w:val="en-US"/>
        </w:rPr>
        <w:t>“</w:t>
      </w:r>
      <w:r w:rsidR="003B50C7">
        <w:rPr>
          <w:rFonts w:ascii="Georgia" w:hAnsi="Georgia"/>
          <w:sz w:val="18"/>
          <w:szCs w:val="18"/>
          <w:lang w:val="en-US"/>
        </w:rPr>
        <w:t>a</w:t>
      </w:r>
      <w:r w:rsidR="00D56E5A">
        <w:rPr>
          <w:rFonts w:ascii="Georgia" w:hAnsi="Georgia"/>
          <w:sz w:val="18"/>
          <w:szCs w:val="18"/>
          <w:lang w:val="en-US"/>
        </w:rPr>
        <w:t xml:space="preserve">ll birds/mammals” may be used if all </w:t>
      </w:r>
      <w:r w:rsidR="003B50C7">
        <w:rPr>
          <w:rFonts w:ascii="Georgia" w:hAnsi="Georgia"/>
          <w:sz w:val="18"/>
          <w:szCs w:val="18"/>
          <w:lang w:val="en-US"/>
        </w:rPr>
        <w:t xml:space="preserve">of the </w:t>
      </w:r>
      <w:r w:rsidR="00D56E5A">
        <w:rPr>
          <w:rFonts w:ascii="Georgia" w:hAnsi="Georgia"/>
          <w:sz w:val="18"/>
          <w:szCs w:val="18"/>
          <w:lang w:val="en-US"/>
        </w:rPr>
        <w:t>tracked individuals were caught within (or in close proximity to) the target crop</w:t>
      </w:r>
      <w:r w:rsidR="00DC59CD">
        <w:rPr>
          <w:rFonts w:ascii="Georgia" w:hAnsi="Georgia"/>
          <w:sz w:val="18"/>
          <w:szCs w:val="18"/>
          <w:lang w:val="en-US"/>
        </w:rPr>
        <w:t>, cf. EFSA (2009) section 6.1.5.2.</w:t>
      </w:r>
    </w:p>
    <w:p w:rsidR="007E0E1B" w:rsidRDefault="007E0E1B" w:rsidP="00115BA8">
      <w:pPr>
        <w:spacing w:after="60" w:line="240" w:lineRule="atLeast"/>
        <w:rPr>
          <w:rFonts w:ascii="Georgia" w:hAnsi="Georgia"/>
          <w:sz w:val="20"/>
          <w:szCs w:val="20"/>
          <w:lang w:val="en-US"/>
        </w:rPr>
      </w:pPr>
    </w:p>
    <w:p w:rsidR="00B42CC8" w:rsidRDefault="00B42CC8" w:rsidP="00FA2F9A">
      <w:pPr>
        <w:spacing w:after="0" w:line="260" w:lineRule="atLeast"/>
        <w:rPr>
          <w:rFonts w:ascii="Georgia" w:hAnsi="Georgia"/>
          <w:sz w:val="20"/>
          <w:szCs w:val="20"/>
          <w:lang w:val="en-US"/>
        </w:rPr>
      </w:pPr>
    </w:p>
    <w:p w:rsidR="00B42CC8" w:rsidRPr="00564DAE" w:rsidRDefault="00B42CC8" w:rsidP="00FA2F9A">
      <w:pPr>
        <w:spacing w:after="0" w:line="260" w:lineRule="atLeast"/>
        <w:rPr>
          <w:rFonts w:ascii="Georgia" w:hAnsi="Georgia"/>
          <w:i/>
          <w:sz w:val="20"/>
          <w:szCs w:val="20"/>
          <w:lang w:val="en-US"/>
        </w:rPr>
      </w:pPr>
    </w:p>
    <w:p w:rsidR="00B42CC8" w:rsidRPr="00564DAE" w:rsidRDefault="00B42CC8" w:rsidP="00FA2F9A">
      <w:pPr>
        <w:spacing w:after="0" w:line="260" w:lineRule="atLeast"/>
        <w:rPr>
          <w:rFonts w:ascii="Georgia" w:hAnsi="Georgia"/>
          <w:sz w:val="20"/>
          <w:szCs w:val="20"/>
          <w:lang w:val="en-US"/>
        </w:rPr>
      </w:pPr>
    </w:p>
    <w:p w:rsidR="00B42CC8" w:rsidRPr="00564DAE" w:rsidRDefault="00B42CC8" w:rsidP="00FA2F9A">
      <w:pPr>
        <w:spacing w:after="0" w:line="260" w:lineRule="atLeast"/>
        <w:rPr>
          <w:rFonts w:ascii="Georgia" w:hAnsi="Georgia"/>
          <w:sz w:val="20"/>
          <w:szCs w:val="20"/>
          <w:lang w:val="en-US"/>
        </w:rPr>
      </w:pPr>
    </w:p>
    <w:sectPr w:rsidR="00B42CC8" w:rsidRPr="00564DAE">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AE0" w:rsidRDefault="00D41AE0" w:rsidP="00A561C0">
      <w:pPr>
        <w:spacing w:after="0" w:line="240" w:lineRule="auto"/>
      </w:pPr>
      <w:r>
        <w:separator/>
      </w:r>
    </w:p>
  </w:endnote>
  <w:endnote w:type="continuationSeparator" w:id="0">
    <w:p w:rsidR="00D41AE0" w:rsidRDefault="00D41AE0" w:rsidP="00A56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AE0" w:rsidRDefault="00D41AE0" w:rsidP="00A561C0">
      <w:pPr>
        <w:spacing w:after="0" w:line="240" w:lineRule="auto"/>
      </w:pPr>
      <w:r>
        <w:separator/>
      </w:r>
    </w:p>
  </w:footnote>
  <w:footnote w:type="continuationSeparator" w:id="0">
    <w:p w:rsidR="00D41AE0" w:rsidRDefault="00D41AE0" w:rsidP="00A561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267B"/>
    <w:multiLevelType w:val="hybridMultilevel"/>
    <w:tmpl w:val="F842C70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9151D78"/>
    <w:multiLevelType w:val="hybridMultilevel"/>
    <w:tmpl w:val="05F015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D095D94"/>
    <w:multiLevelType w:val="hybridMultilevel"/>
    <w:tmpl w:val="92A695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6B8740B"/>
    <w:multiLevelType w:val="hybridMultilevel"/>
    <w:tmpl w:val="F6360E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562"/>
    <w:rsid w:val="00006C5D"/>
    <w:rsid w:val="0001384E"/>
    <w:rsid w:val="0006197B"/>
    <w:rsid w:val="0010561E"/>
    <w:rsid w:val="00115BA8"/>
    <w:rsid w:val="00143EB6"/>
    <w:rsid w:val="001550B4"/>
    <w:rsid w:val="00156999"/>
    <w:rsid w:val="00195076"/>
    <w:rsid w:val="001D67CD"/>
    <w:rsid w:val="001F6FA3"/>
    <w:rsid w:val="002554C7"/>
    <w:rsid w:val="00273B71"/>
    <w:rsid w:val="00273ED9"/>
    <w:rsid w:val="0028041D"/>
    <w:rsid w:val="002C5FED"/>
    <w:rsid w:val="002D1214"/>
    <w:rsid w:val="002D667A"/>
    <w:rsid w:val="002F404C"/>
    <w:rsid w:val="002F715A"/>
    <w:rsid w:val="00303CB8"/>
    <w:rsid w:val="00322CBB"/>
    <w:rsid w:val="00346B5A"/>
    <w:rsid w:val="00395F8E"/>
    <w:rsid w:val="003A3E69"/>
    <w:rsid w:val="003B50C7"/>
    <w:rsid w:val="003D0BE6"/>
    <w:rsid w:val="003E1A37"/>
    <w:rsid w:val="003F504C"/>
    <w:rsid w:val="00416CFD"/>
    <w:rsid w:val="004E3F2B"/>
    <w:rsid w:val="00564DAE"/>
    <w:rsid w:val="00571D44"/>
    <w:rsid w:val="0057666E"/>
    <w:rsid w:val="0057672B"/>
    <w:rsid w:val="005F0B98"/>
    <w:rsid w:val="00626D04"/>
    <w:rsid w:val="006A25C9"/>
    <w:rsid w:val="006E1505"/>
    <w:rsid w:val="006F0E7B"/>
    <w:rsid w:val="00710570"/>
    <w:rsid w:val="00750A0F"/>
    <w:rsid w:val="00783E66"/>
    <w:rsid w:val="007E0E1B"/>
    <w:rsid w:val="00800C4C"/>
    <w:rsid w:val="0080368E"/>
    <w:rsid w:val="00855F14"/>
    <w:rsid w:val="00870528"/>
    <w:rsid w:val="0087583C"/>
    <w:rsid w:val="008B5BBD"/>
    <w:rsid w:val="008C4CD7"/>
    <w:rsid w:val="009407A2"/>
    <w:rsid w:val="00951FA8"/>
    <w:rsid w:val="009574FF"/>
    <w:rsid w:val="00961140"/>
    <w:rsid w:val="009C6BED"/>
    <w:rsid w:val="009C7AAE"/>
    <w:rsid w:val="009E6F33"/>
    <w:rsid w:val="00A142BB"/>
    <w:rsid w:val="00A561C0"/>
    <w:rsid w:val="00A62657"/>
    <w:rsid w:val="00A77FE4"/>
    <w:rsid w:val="00A937F2"/>
    <w:rsid w:val="00AA6985"/>
    <w:rsid w:val="00B3553A"/>
    <w:rsid w:val="00B42CC8"/>
    <w:rsid w:val="00B50760"/>
    <w:rsid w:val="00B51CE5"/>
    <w:rsid w:val="00B70C41"/>
    <w:rsid w:val="00BA5209"/>
    <w:rsid w:val="00BF5A82"/>
    <w:rsid w:val="00C205FA"/>
    <w:rsid w:val="00CE1DDD"/>
    <w:rsid w:val="00CF6189"/>
    <w:rsid w:val="00CF74AB"/>
    <w:rsid w:val="00D04072"/>
    <w:rsid w:val="00D07258"/>
    <w:rsid w:val="00D41AE0"/>
    <w:rsid w:val="00D505D2"/>
    <w:rsid w:val="00D56E5A"/>
    <w:rsid w:val="00D7240F"/>
    <w:rsid w:val="00D907B3"/>
    <w:rsid w:val="00DA1355"/>
    <w:rsid w:val="00DA1BBB"/>
    <w:rsid w:val="00DC12D9"/>
    <w:rsid w:val="00DC59CD"/>
    <w:rsid w:val="00DD7407"/>
    <w:rsid w:val="00DF738C"/>
    <w:rsid w:val="00E60562"/>
    <w:rsid w:val="00EF13EA"/>
    <w:rsid w:val="00F122BF"/>
    <w:rsid w:val="00F70CDF"/>
    <w:rsid w:val="00F95741"/>
    <w:rsid w:val="00F97F06"/>
    <w:rsid w:val="00FA253C"/>
    <w:rsid w:val="00FA2F9A"/>
    <w:rsid w:val="00FB4B65"/>
    <w:rsid w:val="00FF0562"/>
    <w:rsid w:val="00FF5D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7240F"/>
    <w:rPr>
      <w:color w:val="0000FF" w:themeColor="hyperlink"/>
      <w:u w:val="single"/>
    </w:rPr>
  </w:style>
  <w:style w:type="character" w:styleId="BesgtHyperlink">
    <w:name w:val="FollowedHyperlink"/>
    <w:basedOn w:val="Standardskrifttypeiafsnit"/>
    <w:uiPriority w:val="99"/>
    <w:semiHidden/>
    <w:unhideWhenUsed/>
    <w:rsid w:val="00D907B3"/>
    <w:rPr>
      <w:color w:val="800080" w:themeColor="followedHyperlink"/>
      <w:u w:val="single"/>
    </w:rPr>
  </w:style>
  <w:style w:type="paragraph" w:styleId="Listeafsnit">
    <w:name w:val="List Paragraph"/>
    <w:basedOn w:val="Normal"/>
    <w:uiPriority w:val="34"/>
    <w:qFormat/>
    <w:rsid w:val="00D907B3"/>
    <w:pPr>
      <w:ind w:left="720"/>
      <w:contextualSpacing/>
    </w:pPr>
  </w:style>
  <w:style w:type="table" w:styleId="Tabel-Gitter">
    <w:name w:val="Table Grid"/>
    <w:basedOn w:val="Tabel-Normal"/>
    <w:uiPriority w:val="59"/>
    <w:rsid w:val="00F97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A142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142BB"/>
    <w:rPr>
      <w:rFonts w:ascii="Tahoma" w:hAnsi="Tahoma" w:cs="Tahoma"/>
      <w:sz w:val="16"/>
      <w:szCs w:val="16"/>
    </w:rPr>
  </w:style>
  <w:style w:type="character" w:styleId="Kommentarhenvisning">
    <w:name w:val="annotation reference"/>
    <w:basedOn w:val="Standardskrifttypeiafsnit"/>
    <w:uiPriority w:val="99"/>
    <w:semiHidden/>
    <w:unhideWhenUsed/>
    <w:rsid w:val="00303CB8"/>
    <w:rPr>
      <w:sz w:val="16"/>
      <w:szCs w:val="16"/>
    </w:rPr>
  </w:style>
  <w:style w:type="paragraph" w:styleId="Kommentartekst">
    <w:name w:val="annotation text"/>
    <w:basedOn w:val="Normal"/>
    <w:link w:val="KommentartekstTegn"/>
    <w:uiPriority w:val="99"/>
    <w:semiHidden/>
    <w:unhideWhenUsed/>
    <w:rsid w:val="00303CB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03CB8"/>
    <w:rPr>
      <w:sz w:val="20"/>
      <w:szCs w:val="20"/>
    </w:rPr>
  </w:style>
  <w:style w:type="paragraph" w:styleId="Kommentaremne">
    <w:name w:val="annotation subject"/>
    <w:basedOn w:val="Kommentartekst"/>
    <w:next w:val="Kommentartekst"/>
    <w:link w:val="KommentaremneTegn"/>
    <w:uiPriority w:val="99"/>
    <w:semiHidden/>
    <w:unhideWhenUsed/>
    <w:rsid w:val="00303CB8"/>
    <w:rPr>
      <w:b/>
      <w:bCs/>
    </w:rPr>
  </w:style>
  <w:style w:type="character" w:customStyle="1" w:styleId="KommentaremneTegn">
    <w:name w:val="Kommentaremne Tegn"/>
    <w:basedOn w:val="KommentartekstTegn"/>
    <w:link w:val="Kommentaremne"/>
    <w:uiPriority w:val="99"/>
    <w:semiHidden/>
    <w:rsid w:val="00303CB8"/>
    <w:rPr>
      <w:b/>
      <w:bCs/>
      <w:sz w:val="20"/>
      <w:szCs w:val="20"/>
    </w:rPr>
  </w:style>
  <w:style w:type="paragraph" w:styleId="Fodnotetekst">
    <w:name w:val="footnote text"/>
    <w:basedOn w:val="Normal"/>
    <w:link w:val="FodnotetekstTegn"/>
    <w:uiPriority w:val="99"/>
    <w:semiHidden/>
    <w:unhideWhenUsed/>
    <w:rsid w:val="00A561C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561C0"/>
    <w:rPr>
      <w:sz w:val="20"/>
      <w:szCs w:val="20"/>
    </w:rPr>
  </w:style>
  <w:style w:type="character" w:styleId="Fodnotehenvisning">
    <w:name w:val="footnote reference"/>
    <w:basedOn w:val="Standardskrifttypeiafsnit"/>
    <w:uiPriority w:val="99"/>
    <w:semiHidden/>
    <w:unhideWhenUsed/>
    <w:rsid w:val="00A561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7240F"/>
    <w:rPr>
      <w:color w:val="0000FF" w:themeColor="hyperlink"/>
      <w:u w:val="single"/>
    </w:rPr>
  </w:style>
  <w:style w:type="character" w:styleId="BesgtHyperlink">
    <w:name w:val="FollowedHyperlink"/>
    <w:basedOn w:val="Standardskrifttypeiafsnit"/>
    <w:uiPriority w:val="99"/>
    <w:semiHidden/>
    <w:unhideWhenUsed/>
    <w:rsid w:val="00D907B3"/>
    <w:rPr>
      <w:color w:val="800080" w:themeColor="followedHyperlink"/>
      <w:u w:val="single"/>
    </w:rPr>
  </w:style>
  <w:style w:type="paragraph" w:styleId="Listeafsnit">
    <w:name w:val="List Paragraph"/>
    <w:basedOn w:val="Normal"/>
    <w:uiPriority w:val="34"/>
    <w:qFormat/>
    <w:rsid w:val="00D907B3"/>
    <w:pPr>
      <w:ind w:left="720"/>
      <w:contextualSpacing/>
    </w:pPr>
  </w:style>
  <w:style w:type="table" w:styleId="Tabel-Gitter">
    <w:name w:val="Table Grid"/>
    <w:basedOn w:val="Tabel-Normal"/>
    <w:uiPriority w:val="59"/>
    <w:rsid w:val="00F97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A142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142BB"/>
    <w:rPr>
      <w:rFonts w:ascii="Tahoma" w:hAnsi="Tahoma" w:cs="Tahoma"/>
      <w:sz w:val="16"/>
      <w:szCs w:val="16"/>
    </w:rPr>
  </w:style>
  <w:style w:type="character" w:styleId="Kommentarhenvisning">
    <w:name w:val="annotation reference"/>
    <w:basedOn w:val="Standardskrifttypeiafsnit"/>
    <w:uiPriority w:val="99"/>
    <w:semiHidden/>
    <w:unhideWhenUsed/>
    <w:rsid w:val="00303CB8"/>
    <w:rPr>
      <w:sz w:val="16"/>
      <w:szCs w:val="16"/>
    </w:rPr>
  </w:style>
  <w:style w:type="paragraph" w:styleId="Kommentartekst">
    <w:name w:val="annotation text"/>
    <w:basedOn w:val="Normal"/>
    <w:link w:val="KommentartekstTegn"/>
    <w:uiPriority w:val="99"/>
    <w:semiHidden/>
    <w:unhideWhenUsed/>
    <w:rsid w:val="00303CB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03CB8"/>
    <w:rPr>
      <w:sz w:val="20"/>
      <w:szCs w:val="20"/>
    </w:rPr>
  </w:style>
  <w:style w:type="paragraph" w:styleId="Kommentaremne">
    <w:name w:val="annotation subject"/>
    <w:basedOn w:val="Kommentartekst"/>
    <w:next w:val="Kommentartekst"/>
    <w:link w:val="KommentaremneTegn"/>
    <w:uiPriority w:val="99"/>
    <w:semiHidden/>
    <w:unhideWhenUsed/>
    <w:rsid w:val="00303CB8"/>
    <w:rPr>
      <w:b/>
      <w:bCs/>
    </w:rPr>
  </w:style>
  <w:style w:type="character" w:customStyle="1" w:styleId="KommentaremneTegn">
    <w:name w:val="Kommentaremne Tegn"/>
    <w:basedOn w:val="KommentartekstTegn"/>
    <w:link w:val="Kommentaremne"/>
    <w:uiPriority w:val="99"/>
    <w:semiHidden/>
    <w:rsid w:val="00303CB8"/>
    <w:rPr>
      <w:b/>
      <w:bCs/>
      <w:sz w:val="20"/>
      <w:szCs w:val="20"/>
    </w:rPr>
  </w:style>
  <w:style w:type="paragraph" w:styleId="Fodnotetekst">
    <w:name w:val="footnote text"/>
    <w:basedOn w:val="Normal"/>
    <w:link w:val="FodnotetekstTegn"/>
    <w:uiPriority w:val="99"/>
    <w:semiHidden/>
    <w:unhideWhenUsed/>
    <w:rsid w:val="00A561C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561C0"/>
    <w:rPr>
      <w:sz w:val="20"/>
      <w:szCs w:val="20"/>
    </w:rPr>
  </w:style>
  <w:style w:type="character" w:styleId="Fodnotehenvisning">
    <w:name w:val="footnote reference"/>
    <w:basedOn w:val="Standardskrifttypeiafsnit"/>
    <w:uiPriority w:val="99"/>
    <w:semiHidden/>
    <w:unhideWhenUsed/>
    <w:rsid w:val="00A561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3850">
      <w:bodyDiv w:val="1"/>
      <w:marLeft w:val="0"/>
      <w:marRight w:val="0"/>
      <w:marTop w:val="0"/>
      <w:marBottom w:val="0"/>
      <w:divBdr>
        <w:top w:val="none" w:sz="0" w:space="0" w:color="auto"/>
        <w:left w:val="none" w:sz="0" w:space="0" w:color="auto"/>
        <w:bottom w:val="none" w:sz="0" w:space="0" w:color="auto"/>
        <w:right w:val="none" w:sz="0" w:space="0" w:color="auto"/>
      </w:divBdr>
    </w:div>
    <w:div w:id="344942190">
      <w:bodyDiv w:val="1"/>
      <w:marLeft w:val="0"/>
      <w:marRight w:val="0"/>
      <w:marTop w:val="0"/>
      <w:marBottom w:val="0"/>
      <w:divBdr>
        <w:top w:val="none" w:sz="0" w:space="0" w:color="auto"/>
        <w:left w:val="none" w:sz="0" w:space="0" w:color="auto"/>
        <w:bottom w:val="none" w:sz="0" w:space="0" w:color="auto"/>
        <w:right w:val="none" w:sz="0" w:space="0" w:color="auto"/>
      </w:divBdr>
    </w:div>
    <w:div w:id="713314282">
      <w:bodyDiv w:val="1"/>
      <w:marLeft w:val="0"/>
      <w:marRight w:val="0"/>
      <w:marTop w:val="0"/>
      <w:marBottom w:val="0"/>
      <w:divBdr>
        <w:top w:val="none" w:sz="0" w:space="0" w:color="auto"/>
        <w:left w:val="none" w:sz="0" w:space="0" w:color="auto"/>
        <w:bottom w:val="none" w:sz="0" w:space="0" w:color="auto"/>
        <w:right w:val="none" w:sz="0" w:space="0" w:color="auto"/>
      </w:divBdr>
    </w:div>
    <w:div w:id="746659141">
      <w:bodyDiv w:val="1"/>
      <w:marLeft w:val="0"/>
      <w:marRight w:val="0"/>
      <w:marTop w:val="0"/>
      <w:marBottom w:val="0"/>
      <w:divBdr>
        <w:top w:val="none" w:sz="0" w:space="0" w:color="auto"/>
        <w:left w:val="none" w:sz="0" w:space="0" w:color="auto"/>
        <w:bottom w:val="none" w:sz="0" w:space="0" w:color="auto"/>
        <w:right w:val="none" w:sz="0" w:space="0" w:color="auto"/>
      </w:divBdr>
    </w:div>
    <w:div w:id="139797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st.dk/media/mst/9038561/Bird-mammal-scenario-template_v1-1.xls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st.dk/media/mst/9038564/Birds-and-mammals-higher-tier-risk-assesment-Northern-Zone2014April-ver1-1.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fsa.europa.eu/en/efsajournal/doc/1438.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st.dk/NR/rdonlyres/A9A1B9EE-084E-46AA-BAE4-F0B573D4FDCC/0/DKFrameworkpesticideRAjan2013final.doc" TargetMode="External"/><Relationship Id="rId4" Type="http://schemas.microsoft.com/office/2007/relationships/stylesWithEffects" Target="stylesWithEffects.xml"/><Relationship Id="rId9" Type="http://schemas.openxmlformats.org/officeDocument/2006/relationships/hyperlink" Target="http://www.mst.dk/NR/rdonlyres/F8172436-A8B5-4205-BCA6-029ABAF8B958/0/NorthernZoneworksharingguidance_April2013.pdf"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BA76F-3C21-4ED1-95CC-C41D7632B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1379</Words>
  <Characters>8414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DDH</Company>
  <LinksUpToDate>false</LinksUpToDate>
  <CharactersWithSpaces>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BOSP - Bo Svenning Petersen</dc:creator>
  <cp:lastModifiedBy>Vibeke Møller</cp:lastModifiedBy>
  <cp:revision>2</cp:revision>
  <cp:lastPrinted>2014-01-15T15:09:00Z</cp:lastPrinted>
  <dcterms:created xsi:type="dcterms:W3CDTF">2014-04-02T21:42:00Z</dcterms:created>
  <dcterms:modified xsi:type="dcterms:W3CDTF">2014-04-02T21:42:00Z</dcterms:modified>
</cp:coreProperties>
</file>